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3D" w:rsidRPr="0033222D" w:rsidRDefault="004E243D" w:rsidP="004E243D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4E243D" w:rsidRPr="0053006C" w:rsidRDefault="004E243D" w:rsidP="004E24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змін до Положення про виведення неплатоспроможного банку з ринку</w:t>
      </w:r>
      <w:r w:rsidRPr="00174536">
        <w:rPr>
          <w:rFonts w:ascii="Times New Roman" w:hAnsi="Times New Roman"/>
          <w:b/>
          <w:sz w:val="28"/>
          <w:szCs w:val="28"/>
        </w:rPr>
        <w:t>»</w:t>
      </w:r>
    </w:p>
    <w:p w:rsidR="004E243D" w:rsidRPr="00317571" w:rsidRDefault="004E243D" w:rsidP="004E243D"/>
    <w:p w:rsidR="004E243D" w:rsidRPr="0033222D" w:rsidRDefault="004E243D" w:rsidP="004E243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4E243D" w:rsidRPr="004E243D" w:rsidRDefault="004E243D" w:rsidP="004E243D">
      <w:pPr>
        <w:pStyle w:val="NormalText"/>
        <w:ind w:firstLine="426"/>
        <w:rPr>
          <w:rFonts w:ascii="Times New Roman" w:hAnsi="Times New Roman"/>
          <w:sz w:val="28"/>
          <w:szCs w:val="28"/>
          <w:lang w:val="uk-UA" w:eastAsia="en-US"/>
        </w:rPr>
      </w:pPr>
      <w:r w:rsidRPr="00317571">
        <w:rPr>
          <w:rFonts w:ascii="Times New Roman" w:hAnsi="Times New Roman"/>
          <w:sz w:val="28"/>
          <w:szCs w:val="28"/>
          <w:lang w:val="uk-UA" w:eastAsia="en-US"/>
        </w:rPr>
        <w:t xml:space="preserve">Рішення </w:t>
      </w:r>
      <w:r w:rsidRPr="00A25856">
        <w:rPr>
          <w:rFonts w:ascii="Times New Roman" w:hAnsi="Times New Roman"/>
          <w:sz w:val="28"/>
          <w:szCs w:val="28"/>
          <w:lang w:val="uk-UA" w:eastAsia="en-US"/>
        </w:rPr>
        <w:t xml:space="preserve">виконавчої </w:t>
      </w:r>
      <w:r w:rsidRPr="004E243D">
        <w:rPr>
          <w:rFonts w:ascii="Times New Roman" w:hAnsi="Times New Roman"/>
          <w:sz w:val="28"/>
          <w:szCs w:val="28"/>
          <w:lang w:val="uk-UA" w:eastAsia="en-US"/>
        </w:rPr>
        <w:t xml:space="preserve">дирекції Фонду гарантування вкладів фізичних осіб </w:t>
      </w:r>
      <w:r w:rsidRPr="004E243D">
        <w:rPr>
          <w:rFonts w:ascii="Times New Roman" w:hAnsi="Times New Roman"/>
          <w:sz w:val="28"/>
          <w:szCs w:val="28"/>
          <w:lang w:val="uk-UA"/>
        </w:rPr>
        <w:t xml:space="preserve"> від 20.03.2013 № 19 «Про затвердження змін до Положення про виведення неплатоспроможного банку з ринку».</w:t>
      </w:r>
    </w:p>
    <w:p w:rsidR="004E243D" w:rsidRPr="00A25856" w:rsidRDefault="004E243D" w:rsidP="004E24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E243D" w:rsidRPr="0033222D" w:rsidRDefault="004E243D" w:rsidP="004E243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4E243D" w:rsidRPr="00B64F01" w:rsidRDefault="004E243D" w:rsidP="004E243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4E5D52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4E5D52">
        <w:rPr>
          <w:rFonts w:ascii="Times New Roman" w:hAnsi="Times New Roman"/>
          <w:sz w:val="28"/>
          <w:szCs w:val="28"/>
          <w:lang w:val="uk-UA"/>
        </w:rPr>
        <w:t xml:space="preserve"> Фонду.</w:t>
      </w:r>
    </w:p>
    <w:p w:rsidR="004E243D" w:rsidRPr="00B64F01" w:rsidRDefault="004E243D" w:rsidP="004E243D">
      <w:pPr>
        <w:pStyle w:val="NormalText"/>
        <w:rPr>
          <w:rFonts w:ascii="Times New Roman" w:hAnsi="Times New Roman"/>
          <w:sz w:val="28"/>
          <w:szCs w:val="28"/>
          <w:lang w:val="uk-UA" w:eastAsia="en-US"/>
        </w:rPr>
      </w:pPr>
    </w:p>
    <w:p w:rsidR="004E243D" w:rsidRDefault="004E243D" w:rsidP="004E243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607411" w:rsidRDefault="004E243D" w:rsidP="0060741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24">
        <w:rPr>
          <w:rFonts w:ascii="Times New Roman" w:hAnsi="Times New Roman"/>
          <w:sz w:val="28"/>
          <w:szCs w:val="28"/>
        </w:rPr>
        <w:t>Регуляторний акт спрямований на</w:t>
      </w:r>
      <w:r w:rsidR="00607411">
        <w:rPr>
          <w:rFonts w:ascii="Times New Roman" w:hAnsi="Times New Roman"/>
          <w:sz w:val="28"/>
          <w:szCs w:val="28"/>
        </w:rPr>
        <w:t>приведення норм Положення про виведення неплатосп</w:t>
      </w:r>
      <w:r w:rsidR="005846BF">
        <w:rPr>
          <w:rFonts w:ascii="Times New Roman" w:hAnsi="Times New Roman"/>
          <w:sz w:val="28"/>
          <w:szCs w:val="28"/>
        </w:rPr>
        <w:t>роможного банку з ринку до норм</w:t>
      </w:r>
      <w:r w:rsidR="00607411">
        <w:rPr>
          <w:rFonts w:ascii="Times New Roman" w:hAnsi="Times New Roman"/>
          <w:sz w:val="28"/>
          <w:szCs w:val="28"/>
        </w:rPr>
        <w:t xml:space="preserve"> Закону України «Про систему гарантування вкладів фізичних осіб»</w:t>
      </w:r>
      <w:r w:rsidR="005846BF">
        <w:rPr>
          <w:rFonts w:ascii="Times New Roman" w:hAnsi="Times New Roman"/>
          <w:sz w:val="28"/>
          <w:szCs w:val="28"/>
        </w:rPr>
        <w:t xml:space="preserve"> (із змінами)</w:t>
      </w:r>
      <w:r w:rsidR="00607411">
        <w:rPr>
          <w:rFonts w:ascii="Times New Roman" w:hAnsi="Times New Roman"/>
          <w:sz w:val="28"/>
          <w:szCs w:val="28"/>
        </w:rPr>
        <w:t xml:space="preserve">. </w:t>
      </w:r>
    </w:p>
    <w:p w:rsidR="004E243D" w:rsidRDefault="00607411" w:rsidP="0060741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E243D" w:rsidRPr="0033222D">
        <w:rPr>
          <w:rFonts w:ascii="Times New Roman" w:hAnsi="Times New Roman"/>
          <w:b/>
          <w:sz w:val="28"/>
          <w:szCs w:val="28"/>
        </w:rPr>
        <w:t>Строк виконання заходів з відстеження</w:t>
      </w:r>
    </w:p>
    <w:p w:rsidR="004E243D" w:rsidRPr="00445504" w:rsidRDefault="004E243D" w:rsidP="004E243D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445504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</w:t>
      </w:r>
      <w:r>
        <w:rPr>
          <w:rFonts w:ascii="Times New Roman" w:hAnsi="Times New Roman"/>
          <w:sz w:val="28"/>
          <w:szCs w:val="28"/>
          <w:lang w:val="uk-UA"/>
        </w:rPr>
        <w:t xml:space="preserve">         01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607411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4E243D" w:rsidRPr="00132F8C" w:rsidRDefault="004E243D" w:rsidP="004E243D">
      <w:pPr>
        <w:pStyle w:val="NormalText"/>
        <w:ind w:firstLine="360"/>
        <w:rPr>
          <w:rFonts w:ascii="Times New Roman" w:hAnsi="Times New Roman"/>
          <w:sz w:val="28"/>
          <w:szCs w:val="28"/>
          <w:lang w:val="uk-UA" w:eastAsia="en-US"/>
        </w:rPr>
      </w:pPr>
    </w:p>
    <w:p w:rsidR="004E243D" w:rsidRPr="0033222D" w:rsidRDefault="004E243D" w:rsidP="004E243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4E243D" w:rsidRDefault="004E243D" w:rsidP="004E243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4E243D" w:rsidRDefault="004E243D" w:rsidP="004E243D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4E243D" w:rsidRPr="0033222D" w:rsidRDefault="004E243D" w:rsidP="004E243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4E243D" w:rsidRPr="004E5D52" w:rsidRDefault="004E243D" w:rsidP="004E243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</w:t>
      </w:r>
      <w:r w:rsidR="00607411">
        <w:rPr>
          <w:rFonts w:ascii="Times New Roman" w:hAnsi="Times New Roman"/>
          <w:sz w:val="28"/>
          <w:szCs w:val="28"/>
        </w:rPr>
        <w:t xml:space="preserve">кількісних та якісних показників пов’язаних із виведенням неплатоспроможного банку з ринку. </w:t>
      </w:r>
    </w:p>
    <w:p w:rsidR="004E243D" w:rsidRPr="004E5D52" w:rsidRDefault="004E243D" w:rsidP="004E243D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E243D" w:rsidRPr="0033222D" w:rsidRDefault="004E243D" w:rsidP="004E243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також способи одержання даних </w:t>
      </w:r>
    </w:p>
    <w:p w:rsidR="00607411" w:rsidRDefault="00607411" w:rsidP="00607411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Показниками результативності проекту є:</w:t>
      </w:r>
    </w:p>
    <w:p w:rsidR="00607411" w:rsidRDefault="00607411" w:rsidP="0060741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скорочення процедури продажу неплатоспроможного банку в цілому;</w:t>
      </w:r>
    </w:p>
    <w:p w:rsidR="00607411" w:rsidRDefault="00607411" w:rsidP="0060741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отримання Фондом більшої кількості пропозицій від суб’єктів оціночної діяльності щодо участі у відборі з метою можливого їх залучення для забезпечення роботи уповноваженої особи Фонду максимально;</w:t>
      </w:r>
    </w:p>
    <w:p w:rsidR="00607411" w:rsidRDefault="00607411" w:rsidP="0060741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усунення колізій між нормами законодавства. </w:t>
      </w:r>
    </w:p>
    <w:p w:rsidR="004E243D" w:rsidRDefault="004E243D" w:rsidP="004E243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4E243D" w:rsidRPr="004E5D52" w:rsidRDefault="004E243D" w:rsidP="004E243D">
      <w:pPr>
        <w:pStyle w:val="Normal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1F7B0C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</w:t>
      </w:r>
      <w:r w:rsidRPr="00C043DF">
        <w:rPr>
          <w:rFonts w:ascii="Times New Roman" w:hAnsi="Times New Roman"/>
          <w:b/>
          <w:sz w:val="28"/>
          <w:szCs w:val="28"/>
          <w:lang w:val="uk-UA"/>
        </w:rPr>
        <w:t xml:space="preserve"> показників результативності</w:t>
      </w:r>
    </w:p>
    <w:p w:rsidR="00142E5B" w:rsidRDefault="004E243D" w:rsidP="00142E5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якісних значень показників результативності відносяться </w:t>
      </w:r>
      <w:r w:rsidR="00142E5B">
        <w:rPr>
          <w:rFonts w:ascii="Times New Roman" w:hAnsi="Times New Roman"/>
          <w:sz w:val="28"/>
          <w:szCs w:val="28"/>
        </w:rPr>
        <w:t xml:space="preserve">чіткі вимоги та процедури, передбачені регуляторним актом, що є обов’язковими для виконання Фондом, його уповноваженими особами, суб’єктами оціночної діяльності, іншими юридичними та фізичними особами. Регуляторний акт чітко </w:t>
      </w:r>
      <w:r w:rsidR="00142E5B">
        <w:rPr>
          <w:rFonts w:ascii="Times New Roman" w:hAnsi="Times New Roman"/>
          <w:sz w:val="28"/>
          <w:szCs w:val="28"/>
        </w:rPr>
        <w:lastRenderedPageBreak/>
        <w:t>врегульовує порядок дій Фонду та суб’єктів оціночної діяльності при проведенні відбору суб’єктів оціночної діяльності, Фонду та інвестора виведенні неплатоспроможного банку з ринку шляхом його продажу в цілому.</w:t>
      </w:r>
    </w:p>
    <w:p w:rsidR="004E243D" w:rsidRDefault="004E243D" w:rsidP="00142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Кількісні показники результативності будуть аналізуватись протягом наступних відстежень результативності регуляторного акту, після напрацювання відповідної статистичної бази.</w:t>
      </w:r>
    </w:p>
    <w:p w:rsidR="004E243D" w:rsidRDefault="004E243D" w:rsidP="004E243D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E243D" w:rsidRDefault="004E243D" w:rsidP="004E243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4E243D" w:rsidRDefault="004E243D" w:rsidP="004E243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4E243D" w:rsidRPr="009E4B60" w:rsidRDefault="004E243D" w:rsidP="004E243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>хом запровадження цього регуляторного акта досягнення визначених цілей є можливим. Остаточний висновок щодо його результативності можна буде зробити після проведення повторного відстеження через два роки після набрання чинності на підставі аналізу наведених показників.</w:t>
      </w:r>
    </w:p>
    <w:p w:rsidR="004E243D" w:rsidRDefault="004E243D" w:rsidP="004E24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1AB">
        <w:rPr>
          <w:rFonts w:ascii="Times New Roman" w:hAnsi="Times New Roman"/>
          <w:sz w:val="28"/>
          <w:szCs w:val="28"/>
        </w:rPr>
        <w:t xml:space="preserve">Перешкод для реалізації норм цього регуляторного акту немає.Негативних </w:t>
      </w:r>
      <w:r>
        <w:rPr>
          <w:rFonts w:ascii="Times New Roman" w:hAnsi="Times New Roman"/>
          <w:sz w:val="28"/>
          <w:szCs w:val="28"/>
        </w:rPr>
        <w:t>наслідків</w:t>
      </w:r>
      <w:r w:rsidRPr="00A931AB">
        <w:rPr>
          <w:rFonts w:ascii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4E243D" w:rsidRDefault="004E243D" w:rsidP="004E2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3D" w:rsidRDefault="004E243D" w:rsidP="004E2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3D" w:rsidRPr="00D7000C" w:rsidRDefault="004E243D" w:rsidP="004E2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00C">
        <w:rPr>
          <w:rFonts w:ascii="Times New Roman" w:hAnsi="Times New Roman"/>
          <w:b/>
          <w:sz w:val="28"/>
          <w:szCs w:val="28"/>
        </w:rPr>
        <w:t>Директор-розпорядник</w:t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  <w:t>О.І.Шарова</w:t>
      </w:r>
    </w:p>
    <w:p w:rsidR="004E243D" w:rsidRDefault="004E243D" w:rsidP="004E2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3D" w:rsidRPr="00364582" w:rsidRDefault="004E243D" w:rsidP="004E2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4E243D"/>
    <w:p w:rsidR="004E243D" w:rsidRDefault="004E243D" w:rsidP="004E243D"/>
    <w:tbl>
      <w:tblPr>
        <w:tblW w:w="10314" w:type="dxa"/>
        <w:tblLook w:val="04A0"/>
      </w:tblPr>
      <w:tblGrid>
        <w:gridCol w:w="3267"/>
        <w:gridCol w:w="2228"/>
        <w:gridCol w:w="2977"/>
        <w:gridCol w:w="1842"/>
      </w:tblGrid>
      <w:tr w:rsidR="00EB1260" w:rsidRPr="00F93E34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60" w:rsidRPr="00F93E34" w:rsidRDefault="00EB1260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EB1260" w:rsidRPr="00F93E34" w:rsidRDefault="00EB1260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60" w:rsidRPr="00F93E34" w:rsidRDefault="00EB1260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60" w:rsidRPr="00F93E34" w:rsidRDefault="00EB1260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60" w:rsidRPr="00F93E34" w:rsidRDefault="00EB1260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EB1260" w:rsidRPr="00F93E34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60" w:rsidRDefault="00EB1260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 Фонду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60" w:rsidRDefault="00EB1260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60" w:rsidRPr="00F93E34" w:rsidRDefault="00EB1260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60" w:rsidRPr="00F93E34" w:rsidRDefault="00EB1260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.04.2013</w:t>
            </w:r>
          </w:p>
        </w:tc>
      </w:tr>
      <w:tr w:rsidR="00EB1260" w:rsidRPr="00F93E34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60" w:rsidRPr="00F93E34" w:rsidRDefault="00EB1260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60" w:rsidRPr="00F93E34" w:rsidRDefault="00EB1260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60" w:rsidRPr="00F93E34" w:rsidRDefault="00EB1260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60" w:rsidRPr="00F93E34" w:rsidRDefault="00EB1260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.04.2013</w:t>
            </w:r>
          </w:p>
        </w:tc>
      </w:tr>
      <w:tr w:rsidR="00EB1260" w:rsidRPr="00732F53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60" w:rsidRPr="00F93E34" w:rsidRDefault="00EB1260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 xml:space="preserve">Відділ стратегії та нормативно-методологічного забезпечення/провідний професіонал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60" w:rsidRDefault="00EB1260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60" w:rsidRPr="00732F53" w:rsidRDefault="00EB1260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60" w:rsidRPr="00AA7D08" w:rsidRDefault="00EB1260" w:rsidP="008B5A9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.04.2013</w:t>
            </w:r>
          </w:p>
        </w:tc>
      </w:tr>
    </w:tbl>
    <w:p w:rsidR="003D217D" w:rsidRDefault="003D217D"/>
    <w:sectPr w:rsidR="003D217D" w:rsidSect="00E8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39D"/>
    <w:multiLevelType w:val="hybridMultilevel"/>
    <w:tmpl w:val="6B12216A"/>
    <w:lvl w:ilvl="0" w:tplc="38B87B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243D"/>
    <w:rsid w:val="00142E5B"/>
    <w:rsid w:val="003D217D"/>
    <w:rsid w:val="004E243D"/>
    <w:rsid w:val="005846BF"/>
    <w:rsid w:val="005A3A4E"/>
    <w:rsid w:val="00607411"/>
    <w:rsid w:val="00EB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24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E24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E2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24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uiPriority w:val="99"/>
    <w:rsid w:val="004E243D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rsid w:val="004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5</cp:revision>
  <dcterms:created xsi:type="dcterms:W3CDTF">2013-09-30T08:05:00Z</dcterms:created>
  <dcterms:modified xsi:type="dcterms:W3CDTF">2013-09-30T09:34:00Z</dcterms:modified>
</cp:coreProperties>
</file>