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3A" w:rsidRPr="0055109B" w:rsidRDefault="00533D55" w:rsidP="00533D55">
      <w:pPr>
        <w:spacing w:after="0" w:line="240" w:lineRule="auto"/>
        <w:rPr>
          <w:rFonts w:ascii="Times New Roman" w:hAnsi="Times New Roman" w:cs="Times New Roman"/>
          <w:sz w:val="28"/>
          <w:szCs w:val="28"/>
        </w:rPr>
      </w:pP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t>ЗАТВЕРДЖЕНО</w:t>
      </w:r>
    </w:p>
    <w:p w:rsidR="00533D55" w:rsidRPr="0055109B" w:rsidRDefault="00533D55" w:rsidP="00533D55">
      <w:pPr>
        <w:spacing w:after="0" w:line="240" w:lineRule="auto"/>
        <w:rPr>
          <w:rFonts w:ascii="Times New Roman" w:hAnsi="Times New Roman" w:cs="Times New Roman"/>
          <w:sz w:val="28"/>
          <w:szCs w:val="28"/>
        </w:rPr>
      </w:pP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t xml:space="preserve">Рішення виконавчої дирекції Фонду </w:t>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t>гарантування вкладів фізичних осіб</w:t>
      </w:r>
    </w:p>
    <w:p w:rsidR="00533D55" w:rsidRDefault="00533D55" w:rsidP="00533D55">
      <w:pPr>
        <w:spacing w:after="0" w:line="240" w:lineRule="auto"/>
        <w:rPr>
          <w:rFonts w:ascii="Times New Roman" w:hAnsi="Times New Roman" w:cs="Times New Roman"/>
          <w:sz w:val="28"/>
          <w:szCs w:val="28"/>
        </w:rPr>
      </w:pP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Pr="0055109B">
        <w:rPr>
          <w:rFonts w:ascii="Times New Roman" w:hAnsi="Times New Roman" w:cs="Times New Roman"/>
          <w:sz w:val="28"/>
          <w:szCs w:val="28"/>
        </w:rPr>
        <w:tab/>
      </w:r>
      <w:r w:rsidR="0055109B">
        <w:rPr>
          <w:rFonts w:ascii="Times New Roman" w:hAnsi="Times New Roman" w:cs="Times New Roman"/>
          <w:sz w:val="28"/>
          <w:szCs w:val="28"/>
        </w:rPr>
        <w:t>06</w:t>
      </w:r>
      <w:r w:rsidR="00DB1588" w:rsidRPr="0055109B">
        <w:rPr>
          <w:rFonts w:ascii="Times New Roman" w:hAnsi="Times New Roman" w:cs="Times New Roman"/>
          <w:sz w:val="28"/>
          <w:szCs w:val="28"/>
        </w:rPr>
        <w:t xml:space="preserve"> </w:t>
      </w:r>
      <w:r w:rsidR="0055109B">
        <w:rPr>
          <w:rFonts w:ascii="Times New Roman" w:hAnsi="Times New Roman" w:cs="Times New Roman"/>
          <w:sz w:val="28"/>
          <w:szCs w:val="28"/>
        </w:rPr>
        <w:t>грудня</w:t>
      </w:r>
      <w:r w:rsidR="00DB1588" w:rsidRPr="0055109B">
        <w:rPr>
          <w:rFonts w:ascii="Times New Roman" w:hAnsi="Times New Roman" w:cs="Times New Roman"/>
          <w:sz w:val="28"/>
          <w:szCs w:val="28"/>
        </w:rPr>
        <w:t xml:space="preserve"> 201</w:t>
      </w:r>
      <w:r w:rsidR="0055109B">
        <w:rPr>
          <w:rFonts w:ascii="Times New Roman" w:hAnsi="Times New Roman" w:cs="Times New Roman"/>
          <w:sz w:val="28"/>
          <w:szCs w:val="28"/>
        </w:rPr>
        <w:t>8</w:t>
      </w:r>
      <w:r w:rsidR="00DB1588" w:rsidRPr="0055109B">
        <w:rPr>
          <w:rFonts w:ascii="Times New Roman" w:hAnsi="Times New Roman" w:cs="Times New Roman"/>
          <w:sz w:val="28"/>
          <w:szCs w:val="28"/>
        </w:rPr>
        <w:t xml:space="preserve"> № </w:t>
      </w:r>
      <w:r w:rsidR="0055109B">
        <w:rPr>
          <w:rFonts w:ascii="Times New Roman" w:hAnsi="Times New Roman" w:cs="Times New Roman"/>
          <w:sz w:val="28"/>
          <w:szCs w:val="28"/>
        </w:rPr>
        <w:t>3258</w:t>
      </w:r>
    </w:p>
    <w:p w:rsidR="0055109B" w:rsidRPr="0055109B" w:rsidRDefault="0055109B" w:rsidP="0055109B">
      <w:pPr>
        <w:spacing w:after="0" w:line="240" w:lineRule="auto"/>
        <w:ind w:left="10632"/>
        <w:rPr>
          <w:rFonts w:ascii="Times New Roman" w:hAnsi="Times New Roman" w:cs="Times New Roman"/>
          <w:sz w:val="28"/>
          <w:szCs w:val="28"/>
        </w:rPr>
      </w:pPr>
      <w:r w:rsidRPr="0055109B">
        <w:rPr>
          <w:rFonts w:ascii="Times New Roman" w:hAnsi="Times New Roman" w:cs="Times New Roman"/>
          <w:sz w:val="28"/>
          <w:szCs w:val="28"/>
        </w:rPr>
        <w:t>(</w:t>
      </w:r>
      <w:r>
        <w:rPr>
          <w:rFonts w:ascii="Times New Roman" w:hAnsi="Times New Roman" w:cs="Times New Roman"/>
          <w:sz w:val="28"/>
          <w:szCs w:val="28"/>
        </w:rPr>
        <w:t xml:space="preserve">зі змінами </w:t>
      </w:r>
      <w:r>
        <w:rPr>
          <w:rFonts w:ascii="Times New Roman" w:hAnsi="Times New Roman"/>
          <w:sz w:val="28"/>
          <w:szCs w:val="28"/>
        </w:rPr>
        <w:t>№</w:t>
      </w:r>
      <w:r w:rsidRPr="0055109B">
        <w:rPr>
          <w:rFonts w:ascii="Times New Roman" w:hAnsi="Times New Roman"/>
          <w:sz w:val="28"/>
          <w:szCs w:val="28"/>
        </w:rPr>
        <w:t xml:space="preserve"> 99</w:t>
      </w:r>
      <w:r>
        <w:rPr>
          <w:rFonts w:ascii="Times New Roman" w:hAnsi="Times New Roman"/>
          <w:sz w:val="28"/>
          <w:szCs w:val="28"/>
        </w:rPr>
        <w:t xml:space="preserve"> </w:t>
      </w:r>
      <w:r>
        <w:rPr>
          <w:rFonts w:ascii="Times New Roman" w:hAnsi="Times New Roman" w:cs="Times New Roman"/>
          <w:sz w:val="28"/>
          <w:szCs w:val="28"/>
        </w:rPr>
        <w:t xml:space="preserve">від </w:t>
      </w:r>
      <w:r w:rsidRPr="0055109B">
        <w:rPr>
          <w:rFonts w:ascii="Times New Roman" w:hAnsi="Times New Roman"/>
          <w:sz w:val="28"/>
        </w:rPr>
        <w:t>17</w:t>
      </w:r>
      <w:r>
        <w:rPr>
          <w:rFonts w:ascii="Times New Roman" w:hAnsi="Times New Roman"/>
          <w:sz w:val="28"/>
        </w:rPr>
        <w:t>.01.</w:t>
      </w:r>
      <w:r w:rsidRPr="0055109B">
        <w:rPr>
          <w:rFonts w:ascii="Times New Roman" w:hAnsi="Times New Roman"/>
          <w:sz w:val="28"/>
        </w:rPr>
        <w:t>2019</w:t>
      </w:r>
      <w:r w:rsidRPr="0055109B">
        <w:rPr>
          <w:rFonts w:ascii="Times New Roman" w:hAnsi="Times New Roman" w:cs="Times New Roman"/>
          <w:sz w:val="28"/>
          <w:szCs w:val="28"/>
        </w:rPr>
        <w:t>)</w:t>
      </w:r>
    </w:p>
    <w:p w:rsidR="00533D55" w:rsidRPr="0055109B" w:rsidRDefault="00533D55" w:rsidP="00533D55">
      <w:pPr>
        <w:spacing w:after="0" w:line="240" w:lineRule="auto"/>
        <w:rPr>
          <w:rFonts w:ascii="Times New Roman" w:hAnsi="Times New Roman" w:cs="Times New Roman"/>
          <w:sz w:val="28"/>
          <w:szCs w:val="28"/>
        </w:rPr>
      </w:pPr>
    </w:p>
    <w:p w:rsidR="00533D55" w:rsidRPr="0055109B" w:rsidRDefault="00533D55" w:rsidP="00533D55">
      <w:pPr>
        <w:spacing w:after="0" w:line="240" w:lineRule="auto"/>
        <w:rPr>
          <w:rFonts w:ascii="Times New Roman" w:hAnsi="Times New Roman" w:cs="Times New Roman"/>
          <w:sz w:val="28"/>
          <w:szCs w:val="28"/>
        </w:rPr>
      </w:pPr>
    </w:p>
    <w:p w:rsidR="00B12B66" w:rsidRPr="0055109B" w:rsidRDefault="00B12B66" w:rsidP="00D234B3">
      <w:pPr>
        <w:spacing w:after="0" w:line="240" w:lineRule="auto"/>
        <w:jc w:val="center"/>
        <w:rPr>
          <w:rFonts w:ascii="Times New Roman" w:hAnsi="Times New Roman" w:cs="Times New Roman"/>
          <w:b/>
          <w:sz w:val="28"/>
          <w:szCs w:val="28"/>
        </w:rPr>
      </w:pPr>
      <w:r w:rsidRPr="0055109B">
        <w:rPr>
          <w:rFonts w:ascii="Times New Roman" w:hAnsi="Times New Roman" w:cs="Times New Roman"/>
          <w:b/>
          <w:sz w:val="28"/>
          <w:szCs w:val="28"/>
        </w:rPr>
        <w:t xml:space="preserve">Плану </w:t>
      </w:r>
    </w:p>
    <w:p w:rsidR="00D234B3" w:rsidRPr="0055109B" w:rsidRDefault="00B12B66" w:rsidP="00D234B3">
      <w:pPr>
        <w:spacing w:after="0" w:line="240" w:lineRule="auto"/>
        <w:jc w:val="center"/>
        <w:rPr>
          <w:rFonts w:ascii="Times New Roman" w:hAnsi="Times New Roman" w:cs="Times New Roman"/>
          <w:b/>
          <w:sz w:val="28"/>
          <w:szCs w:val="28"/>
        </w:rPr>
      </w:pPr>
      <w:r w:rsidRPr="0055109B">
        <w:rPr>
          <w:rFonts w:ascii="Times New Roman" w:hAnsi="Times New Roman" w:cs="Times New Roman"/>
          <w:b/>
          <w:sz w:val="28"/>
          <w:szCs w:val="28"/>
        </w:rPr>
        <w:t>підготовки проектів регуляторних актів Фонду гарантування вкладів фізичних осіб на 201</w:t>
      </w:r>
      <w:r w:rsidR="0055109B" w:rsidRPr="00DD4B5D">
        <w:rPr>
          <w:rFonts w:ascii="Times New Roman" w:hAnsi="Times New Roman" w:cs="Times New Roman"/>
          <w:b/>
          <w:sz w:val="28"/>
          <w:szCs w:val="28"/>
        </w:rPr>
        <w:t>9</w:t>
      </w:r>
      <w:r w:rsidRPr="0055109B">
        <w:rPr>
          <w:rFonts w:ascii="Times New Roman" w:hAnsi="Times New Roman" w:cs="Times New Roman"/>
          <w:b/>
          <w:sz w:val="28"/>
          <w:szCs w:val="28"/>
        </w:rPr>
        <w:t xml:space="preserve"> рік</w:t>
      </w:r>
    </w:p>
    <w:p w:rsidR="00D234B3" w:rsidRPr="0055109B" w:rsidRDefault="00D234B3" w:rsidP="00D234B3">
      <w:pPr>
        <w:spacing w:after="0" w:line="240" w:lineRule="auto"/>
        <w:jc w:val="center"/>
        <w:rPr>
          <w:rFonts w:ascii="Times New Roman" w:hAnsi="Times New Roman" w:cs="Times New Roman"/>
          <w:b/>
          <w:i/>
          <w:sz w:val="28"/>
          <w:szCs w:val="28"/>
        </w:rPr>
      </w:pPr>
    </w:p>
    <w:tbl>
      <w:tblPr>
        <w:tblStyle w:val="a4"/>
        <w:tblW w:w="14880" w:type="dxa"/>
        <w:tblLayout w:type="fixed"/>
        <w:tblLook w:val="04A0" w:firstRow="1" w:lastRow="0" w:firstColumn="1" w:lastColumn="0" w:noHBand="0" w:noVBand="1"/>
      </w:tblPr>
      <w:tblGrid>
        <w:gridCol w:w="608"/>
        <w:gridCol w:w="3498"/>
        <w:gridCol w:w="4678"/>
        <w:gridCol w:w="2835"/>
        <w:gridCol w:w="3261"/>
      </w:tblGrid>
      <w:tr w:rsidR="0055109B" w:rsidRPr="0055109B" w:rsidTr="00DB1588">
        <w:tc>
          <w:tcPr>
            <w:tcW w:w="608" w:type="dxa"/>
          </w:tcPr>
          <w:p w:rsidR="0055109B" w:rsidRPr="0055109B" w:rsidRDefault="0055109B" w:rsidP="0055109B">
            <w:pPr>
              <w:spacing w:after="0" w:line="360" w:lineRule="atLeast"/>
              <w:rPr>
                <w:rFonts w:ascii="Times New Roman" w:hAnsi="Times New Roman" w:cs="Times New Roman"/>
                <w:color w:val="000000"/>
                <w:sz w:val="28"/>
                <w:szCs w:val="28"/>
              </w:rPr>
            </w:pPr>
            <w:r w:rsidRPr="0055109B">
              <w:rPr>
                <w:rStyle w:val="ad"/>
                <w:rFonts w:ascii="Times New Roman" w:hAnsi="Times New Roman" w:cs="Times New Roman"/>
                <w:color w:val="000000"/>
                <w:sz w:val="28"/>
                <w:szCs w:val="28"/>
                <w:bdr w:val="none" w:sz="0" w:space="0" w:color="auto" w:frame="1"/>
              </w:rPr>
              <w:t>№ п/п</w:t>
            </w:r>
          </w:p>
        </w:tc>
        <w:tc>
          <w:tcPr>
            <w:tcW w:w="349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Style w:val="ad"/>
                <w:rFonts w:ascii="Times New Roman" w:hAnsi="Times New Roman" w:cs="Times New Roman"/>
                <w:color w:val="000000"/>
                <w:sz w:val="28"/>
                <w:szCs w:val="28"/>
                <w:bdr w:val="none" w:sz="0" w:space="0" w:color="auto" w:frame="1"/>
              </w:rPr>
              <w:t>Вид і назва проектів регуляторних актів</w:t>
            </w:r>
          </w:p>
        </w:tc>
        <w:tc>
          <w:tcPr>
            <w:tcW w:w="467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Style w:val="ad"/>
                <w:rFonts w:ascii="Times New Roman" w:hAnsi="Times New Roman" w:cs="Times New Roman"/>
                <w:color w:val="000000"/>
                <w:sz w:val="28"/>
                <w:szCs w:val="28"/>
                <w:bdr w:val="none" w:sz="0" w:space="0" w:color="auto" w:frame="1"/>
              </w:rPr>
              <w:t>Цілі прийняття</w:t>
            </w:r>
          </w:p>
        </w:tc>
        <w:tc>
          <w:tcPr>
            <w:tcW w:w="2835"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Style w:val="ad"/>
                <w:rFonts w:ascii="Times New Roman" w:hAnsi="Times New Roman" w:cs="Times New Roman"/>
                <w:color w:val="000000"/>
                <w:sz w:val="28"/>
                <w:szCs w:val="28"/>
                <w:bdr w:val="none" w:sz="0" w:space="0" w:color="auto" w:frame="1"/>
              </w:rPr>
              <w:t>Строки підготовки</w:t>
            </w:r>
          </w:p>
        </w:tc>
        <w:tc>
          <w:tcPr>
            <w:tcW w:w="3261"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Style w:val="ad"/>
                <w:rFonts w:ascii="Times New Roman" w:hAnsi="Times New Roman" w:cs="Times New Roman"/>
                <w:color w:val="000000"/>
                <w:sz w:val="28"/>
                <w:szCs w:val="28"/>
                <w:bdr w:val="none" w:sz="0" w:space="0" w:color="auto" w:frame="1"/>
              </w:rPr>
              <w:t>Відповідальні структурні підрозділи</w:t>
            </w:r>
          </w:p>
        </w:tc>
      </w:tr>
      <w:tr w:rsidR="0055109B" w:rsidRPr="0055109B" w:rsidTr="00DB1588">
        <w:tc>
          <w:tcPr>
            <w:tcW w:w="60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1.</w:t>
            </w:r>
          </w:p>
        </w:tc>
        <w:tc>
          <w:tcPr>
            <w:tcW w:w="349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Рішення виконавчої дирекції Фонду гарантування вкладів фізичних осіб «Про внесення змін до Правил надання звітності учасниками Фонду гарантування вкладів фізичних осіб»</w:t>
            </w:r>
          </w:p>
        </w:tc>
        <w:tc>
          <w:tcPr>
            <w:tcW w:w="467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Оновлення підходів до подання звітності банками – учасниками Фонду гарантування вкладів фізичних осіб та приведення у відповідність до нормативно-правових актів Національного банку України, які регулюють діяльність банків щодо надання звітності банкам</w:t>
            </w:r>
          </w:p>
        </w:tc>
        <w:tc>
          <w:tcPr>
            <w:tcW w:w="2835"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ІІ квартал</w:t>
            </w:r>
          </w:p>
        </w:tc>
        <w:tc>
          <w:tcPr>
            <w:tcW w:w="3261" w:type="dxa"/>
          </w:tcPr>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Департамент дистанційного та інспекційного моніторингу діяльності банків</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Департамент інформаційних технологій</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Відділ стратегії та нормативно-методологічного забезпечення</w:t>
            </w:r>
          </w:p>
        </w:tc>
      </w:tr>
      <w:tr w:rsidR="0055109B" w:rsidRPr="0055109B" w:rsidTr="00DB1588">
        <w:tc>
          <w:tcPr>
            <w:tcW w:w="60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2.</w:t>
            </w:r>
          </w:p>
        </w:tc>
        <w:tc>
          <w:tcPr>
            <w:tcW w:w="349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 xml:space="preserve">Рішення виконавчої дирекції Фонду гарантування вкладів </w:t>
            </w:r>
            <w:r w:rsidRPr="0055109B">
              <w:rPr>
                <w:rFonts w:ascii="Times New Roman" w:hAnsi="Times New Roman" w:cs="Times New Roman"/>
                <w:color w:val="000000"/>
                <w:sz w:val="28"/>
                <w:szCs w:val="28"/>
              </w:rPr>
              <w:lastRenderedPageBreak/>
              <w:t>фізичних осіб «Про внесення змін до Інструкції про порядок складання звіту про вклади фізичних осіб в учасниках Фонду гарантування вкладів фізичних осіб – форма звітності № 1Ф»</w:t>
            </w:r>
          </w:p>
        </w:tc>
        <w:tc>
          <w:tcPr>
            <w:tcW w:w="467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lastRenderedPageBreak/>
              <w:t xml:space="preserve">Оновлення підходів до подання звітності банками – учасниками до </w:t>
            </w:r>
            <w:r w:rsidRPr="0055109B">
              <w:rPr>
                <w:rFonts w:ascii="Times New Roman" w:hAnsi="Times New Roman" w:cs="Times New Roman"/>
                <w:color w:val="000000"/>
                <w:sz w:val="28"/>
                <w:szCs w:val="28"/>
              </w:rPr>
              <w:lastRenderedPageBreak/>
              <w:t>Фонду гарантування вкладів фізичних осіб</w:t>
            </w:r>
          </w:p>
        </w:tc>
        <w:tc>
          <w:tcPr>
            <w:tcW w:w="2835"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lastRenderedPageBreak/>
              <w:t>ІІ квартал</w:t>
            </w:r>
          </w:p>
        </w:tc>
        <w:tc>
          <w:tcPr>
            <w:tcW w:w="3261" w:type="dxa"/>
          </w:tcPr>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 xml:space="preserve">Департамент дистанційного та інспекційного </w:t>
            </w:r>
            <w:r w:rsidRPr="0055109B">
              <w:rPr>
                <w:color w:val="000000"/>
                <w:sz w:val="28"/>
                <w:szCs w:val="28"/>
              </w:rPr>
              <w:lastRenderedPageBreak/>
              <w:t>моніторингу діяльності банків</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Департамент інформаційних технологій</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Відділ стратегії та нормативно-методологічного забезпечення</w:t>
            </w:r>
          </w:p>
        </w:tc>
      </w:tr>
      <w:tr w:rsidR="0055109B" w:rsidRPr="0055109B" w:rsidTr="00DB1588">
        <w:tc>
          <w:tcPr>
            <w:tcW w:w="60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lastRenderedPageBreak/>
              <w:t>3.</w:t>
            </w:r>
          </w:p>
        </w:tc>
        <w:tc>
          <w:tcPr>
            <w:tcW w:w="349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Рішення виконавчої дирекції Фонду гарантування вкладів фізичних осіб «Про затвердження Інструкції з діловодства за зверненнями громадян у Фонді гарантування вкладів фізичних осіб»</w:t>
            </w:r>
          </w:p>
        </w:tc>
        <w:tc>
          <w:tcPr>
            <w:tcW w:w="467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Приведення норм Інструкції до вимог законодавства України</w:t>
            </w:r>
          </w:p>
        </w:tc>
        <w:tc>
          <w:tcPr>
            <w:tcW w:w="2835"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ІІ квартал</w:t>
            </w:r>
          </w:p>
        </w:tc>
        <w:tc>
          <w:tcPr>
            <w:tcW w:w="3261" w:type="dxa"/>
          </w:tcPr>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Відділ загального діловодства</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Відділ стратегії та нормативно-методологічного забезпечення</w:t>
            </w:r>
          </w:p>
        </w:tc>
      </w:tr>
      <w:tr w:rsidR="0055109B" w:rsidRPr="0055109B" w:rsidTr="00DB1588">
        <w:tc>
          <w:tcPr>
            <w:tcW w:w="60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4.</w:t>
            </w:r>
          </w:p>
        </w:tc>
        <w:tc>
          <w:tcPr>
            <w:tcW w:w="349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 xml:space="preserve">Рішення виконавчої дирекції Фонду гарантування вкладів фізичних осіб «Про внесення змін до Інструкції про порядок </w:t>
            </w:r>
            <w:r w:rsidRPr="0055109B">
              <w:rPr>
                <w:rFonts w:ascii="Times New Roman" w:hAnsi="Times New Roman" w:cs="Times New Roman"/>
                <w:color w:val="000000"/>
                <w:sz w:val="28"/>
                <w:szCs w:val="28"/>
              </w:rPr>
              <w:lastRenderedPageBreak/>
              <w:t>здійснення Фондом гарантування вкладів фізичних осіб захисту прав та охоронюваних законом інтересів вкладників у новій редакції»</w:t>
            </w:r>
          </w:p>
        </w:tc>
        <w:tc>
          <w:tcPr>
            <w:tcW w:w="467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lastRenderedPageBreak/>
              <w:t xml:space="preserve">Актуалізація норм в частині вдосконалення контролю за дотриманням банками вимог щодо захисту прав вкладників з врахуванням розвитку digital – технологій в банківському секторі; </w:t>
            </w:r>
            <w:r w:rsidRPr="0055109B">
              <w:rPr>
                <w:rFonts w:ascii="Times New Roman" w:hAnsi="Times New Roman" w:cs="Times New Roman"/>
                <w:color w:val="000000"/>
                <w:sz w:val="28"/>
                <w:szCs w:val="28"/>
              </w:rPr>
              <w:lastRenderedPageBreak/>
              <w:t>здійснення постійного аналізу порушень прав вкладників та проведення методологічних консультацій банків – учасників Фонду; підвищення рівня прозорості та інформованості населення щодо системи гарантування вкладів фізичних осіб; розширення каналів комунікацій зі споживачами фінансових послуг; впровадження нових підходів до захисту прав вкладників з врахуванням вимог директив Європейського Парламенту та Ради Європи.</w:t>
            </w:r>
          </w:p>
        </w:tc>
        <w:tc>
          <w:tcPr>
            <w:tcW w:w="2835"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lastRenderedPageBreak/>
              <w:t>IІ</w:t>
            </w:r>
            <w:r w:rsidR="00DD4B5D" w:rsidRPr="0055109B">
              <w:rPr>
                <w:rFonts w:ascii="Times New Roman" w:hAnsi="Times New Roman" w:cs="Times New Roman"/>
                <w:color w:val="000000"/>
                <w:sz w:val="28"/>
                <w:szCs w:val="28"/>
              </w:rPr>
              <w:t>І</w:t>
            </w:r>
            <w:r w:rsidRPr="0055109B">
              <w:rPr>
                <w:rFonts w:ascii="Times New Roman" w:hAnsi="Times New Roman" w:cs="Times New Roman"/>
                <w:color w:val="000000"/>
                <w:sz w:val="28"/>
                <w:szCs w:val="28"/>
              </w:rPr>
              <w:t xml:space="preserve"> квартал</w:t>
            </w:r>
          </w:p>
        </w:tc>
        <w:tc>
          <w:tcPr>
            <w:tcW w:w="3261" w:type="dxa"/>
          </w:tcPr>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Відділ захисту прав вкладників</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Управління з питань виплат гарантованих вкладів</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lastRenderedPageBreak/>
              <w:t>Відділ стратегії та нормативно-методологічного забезпечення</w:t>
            </w:r>
          </w:p>
        </w:tc>
      </w:tr>
      <w:tr w:rsidR="0055109B" w:rsidRPr="0055109B" w:rsidTr="00DB1588">
        <w:tc>
          <w:tcPr>
            <w:tcW w:w="60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lastRenderedPageBreak/>
              <w:t>5.</w:t>
            </w:r>
          </w:p>
        </w:tc>
        <w:tc>
          <w:tcPr>
            <w:tcW w:w="349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 xml:space="preserve">Рішення виконавчої дирекції Фонду гарантування вкладів фізичних осіб «Про внесення змін до Порядку дій працівників Фонду гарантування вкладів фізичних осіб, до повноважень яких належить проведення моніторингу стану </w:t>
            </w:r>
            <w:r w:rsidRPr="0055109B">
              <w:rPr>
                <w:rFonts w:ascii="Times New Roman" w:hAnsi="Times New Roman" w:cs="Times New Roman"/>
                <w:color w:val="000000"/>
                <w:sz w:val="28"/>
                <w:szCs w:val="28"/>
              </w:rPr>
              <w:lastRenderedPageBreak/>
              <w:t>дотримання банком вимог порядку формування та ведення баз даних про вкладників, проведення банком банківських операцій»</w:t>
            </w:r>
          </w:p>
        </w:tc>
        <w:tc>
          <w:tcPr>
            <w:tcW w:w="467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lastRenderedPageBreak/>
              <w:t>Удосконалення порядку дій працівників Фонду гарантування вкладів фізичних осіб, до повноважень яких належить проведення моніторингу стану дотримання банком вимог порядку формування та ведення баз даних про вкладників, проведення банком банківських операцій</w:t>
            </w:r>
          </w:p>
        </w:tc>
        <w:tc>
          <w:tcPr>
            <w:tcW w:w="2835"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IІ квартал</w:t>
            </w:r>
          </w:p>
        </w:tc>
        <w:tc>
          <w:tcPr>
            <w:tcW w:w="3261" w:type="dxa"/>
          </w:tcPr>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Департамент дистанційного та інспекційного моніторингу діяльності банків</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Управління з питань виплат гарантованих вкладів</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Відділ стратегії та нормативно-</w:t>
            </w:r>
            <w:r w:rsidRPr="0055109B">
              <w:rPr>
                <w:color w:val="000000"/>
                <w:sz w:val="28"/>
                <w:szCs w:val="28"/>
              </w:rPr>
              <w:lastRenderedPageBreak/>
              <w:t>методологічного забезпечення</w:t>
            </w:r>
          </w:p>
        </w:tc>
      </w:tr>
      <w:tr w:rsidR="0055109B" w:rsidRPr="0055109B" w:rsidTr="00DB1588">
        <w:tc>
          <w:tcPr>
            <w:tcW w:w="60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lastRenderedPageBreak/>
              <w:t>6.</w:t>
            </w:r>
          </w:p>
        </w:tc>
        <w:tc>
          <w:tcPr>
            <w:tcW w:w="349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Рішення виконавчої дирекції Фонду гарантування вкладів фізичних осіб «Про затвердження Змін до Правил формування та ведення баз даних про вкладників»</w:t>
            </w:r>
          </w:p>
        </w:tc>
        <w:tc>
          <w:tcPr>
            <w:tcW w:w="467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Необхідність внести зміни до структури базового файлу «D» для можливості повної ідентифікації вкладників відповідно до нормативно-правового актів щодо об’єктів державного фінансового моніторингу. Оптимізація роботи Узагальненої бази даних, а саме Базової структури у файлі «D» при формуванні інформації на визначену дату та зазначенням загальних сум залишків на рахунках</w:t>
            </w:r>
          </w:p>
        </w:tc>
        <w:tc>
          <w:tcPr>
            <w:tcW w:w="2835"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IІІ квартал</w:t>
            </w:r>
          </w:p>
        </w:tc>
        <w:tc>
          <w:tcPr>
            <w:tcW w:w="3261" w:type="dxa"/>
          </w:tcPr>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Управління з питань виплат гарантованих вкладів</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Відділ стратегії та нормативно-методологічного забезпечення</w:t>
            </w:r>
          </w:p>
        </w:tc>
      </w:tr>
      <w:tr w:rsidR="0055109B" w:rsidRPr="0055109B" w:rsidTr="00DB1588">
        <w:tc>
          <w:tcPr>
            <w:tcW w:w="60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7.</w:t>
            </w:r>
          </w:p>
        </w:tc>
        <w:tc>
          <w:tcPr>
            <w:tcW w:w="349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 xml:space="preserve">Рішення виконавчої дирекції Фонду гарантування вкладів фізичних осіб «Про затвердження Змін до Інструкції про порядок </w:t>
            </w:r>
            <w:r w:rsidRPr="0055109B">
              <w:rPr>
                <w:rFonts w:ascii="Times New Roman" w:hAnsi="Times New Roman" w:cs="Times New Roman"/>
                <w:color w:val="000000"/>
                <w:sz w:val="28"/>
                <w:szCs w:val="28"/>
              </w:rPr>
              <w:lastRenderedPageBreak/>
              <w:t>здійснення Фондом гарантування вкладів фізичних осіб захисту прав та охоронюваних інтересів вкладників»</w:t>
            </w:r>
          </w:p>
        </w:tc>
        <w:tc>
          <w:tcPr>
            <w:tcW w:w="4678"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lastRenderedPageBreak/>
              <w:t>Розробка зумовлена необхідністю вдосконалення підходу до інформування вкладника та приведення у відповідність принципам інформування, що передбачені законодавством ЄС.</w:t>
            </w:r>
          </w:p>
        </w:tc>
        <w:tc>
          <w:tcPr>
            <w:tcW w:w="2835" w:type="dxa"/>
          </w:tcPr>
          <w:p w:rsidR="0055109B" w:rsidRPr="0055109B" w:rsidRDefault="0055109B" w:rsidP="0055109B">
            <w:pPr>
              <w:spacing w:line="360" w:lineRule="atLeast"/>
              <w:rPr>
                <w:rFonts w:ascii="Times New Roman" w:hAnsi="Times New Roman" w:cs="Times New Roman"/>
                <w:color w:val="000000"/>
                <w:sz w:val="28"/>
                <w:szCs w:val="28"/>
              </w:rPr>
            </w:pPr>
            <w:r w:rsidRPr="0055109B">
              <w:rPr>
                <w:rFonts w:ascii="Times New Roman" w:hAnsi="Times New Roman" w:cs="Times New Roman"/>
                <w:color w:val="000000"/>
                <w:sz w:val="28"/>
                <w:szCs w:val="28"/>
              </w:rPr>
              <w:t>І квартал</w:t>
            </w:r>
          </w:p>
        </w:tc>
        <w:tc>
          <w:tcPr>
            <w:tcW w:w="3261" w:type="dxa"/>
          </w:tcPr>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Відділ стратегії та нормативно-методологічного забезпечення</w:t>
            </w:r>
          </w:p>
          <w:p w:rsidR="0055109B" w:rsidRPr="0055109B" w:rsidRDefault="0055109B" w:rsidP="0055109B">
            <w:pPr>
              <w:pStyle w:val="ae"/>
              <w:spacing w:before="0" w:beforeAutospacing="0" w:after="96" w:afterAutospacing="0" w:line="360" w:lineRule="atLeast"/>
              <w:textAlignment w:val="baseline"/>
              <w:rPr>
                <w:color w:val="000000"/>
                <w:sz w:val="28"/>
                <w:szCs w:val="28"/>
              </w:rPr>
            </w:pPr>
            <w:r w:rsidRPr="0055109B">
              <w:rPr>
                <w:color w:val="000000"/>
                <w:sz w:val="28"/>
                <w:szCs w:val="28"/>
              </w:rPr>
              <w:t>Відділ захисту прав вкладників</w:t>
            </w:r>
          </w:p>
        </w:tc>
      </w:tr>
      <w:tr w:rsidR="000444EE" w:rsidRPr="0055109B" w:rsidTr="00DB1588">
        <w:tc>
          <w:tcPr>
            <w:tcW w:w="608" w:type="dxa"/>
          </w:tcPr>
          <w:p w:rsidR="000444EE" w:rsidRPr="000444EE" w:rsidRDefault="000444EE" w:rsidP="0055109B">
            <w:pPr>
              <w:spacing w:line="360" w:lineRule="atLeas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w:t>
            </w:r>
          </w:p>
        </w:tc>
        <w:tc>
          <w:tcPr>
            <w:tcW w:w="3498" w:type="dxa"/>
          </w:tcPr>
          <w:p w:rsidR="000444EE" w:rsidRPr="0055109B" w:rsidRDefault="000444EE" w:rsidP="000444EE">
            <w:pPr>
              <w:spacing w:line="360" w:lineRule="atLeast"/>
              <w:rPr>
                <w:rFonts w:ascii="Times New Roman" w:hAnsi="Times New Roman" w:cs="Times New Roman"/>
                <w:color w:val="000000"/>
                <w:sz w:val="28"/>
                <w:szCs w:val="28"/>
              </w:rPr>
            </w:pPr>
            <w:r w:rsidRPr="000444EE">
              <w:rPr>
                <w:rFonts w:ascii="Times New Roman" w:hAnsi="Times New Roman" w:cs="Times New Roman"/>
                <w:color w:val="000000"/>
                <w:sz w:val="28"/>
                <w:szCs w:val="28"/>
              </w:rPr>
              <w:t>Рішення виконавчої дирекції Фонду гарантування вкладів фізичних осіб «Про затвердження Змін до Положення про порядок визначення банків-агентів Фонду гарантування вкладів фізичних осіб»</w:t>
            </w:r>
          </w:p>
        </w:tc>
        <w:tc>
          <w:tcPr>
            <w:tcW w:w="4678" w:type="dxa"/>
          </w:tcPr>
          <w:p w:rsidR="000444EE" w:rsidRPr="0055109B" w:rsidRDefault="000444EE" w:rsidP="000444EE">
            <w:pPr>
              <w:spacing w:line="360" w:lineRule="atLeast"/>
              <w:rPr>
                <w:rFonts w:ascii="Times New Roman" w:hAnsi="Times New Roman" w:cs="Times New Roman"/>
                <w:color w:val="000000"/>
                <w:sz w:val="28"/>
                <w:szCs w:val="28"/>
              </w:rPr>
            </w:pPr>
            <w:r w:rsidRPr="000444EE">
              <w:rPr>
                <w:rFonts w:ascii="Times New Roman" w:hAnsi="Times New Roman" w:cs="Times New Roman"/>
                <w:color w:val="000000"/>
                <w:sz w:val="28"/>
                <w:szCs w:val="28"/>
              </w:rPr>
              <w:t>Розробка зумовлена необхідністю удосконалення порядку визначення банку банком-агентом Фонду, процедури проходження банком тестування можливості виплат гарантованих сум відшкодування за допомогою засобів Автоматизованої системи виплат Фонду, запровадженням нової процедури прийняття рішення про визначення або відмову у визначенні банку банком-агентом Фонду, зміною порядку здійснення аналізу їх діяльності, та порядку виключення банку з числа банків-агентів Фонду.</w:t>
            </w:r>
          </w:p>
        </w:tc>
        <w:tc>
          <w:tcPr>
            <w:tcW w:w="2835" w:type="dxa"/>
          </w:tcPr>
          <w:p w:rsidR="000444EE" w:rsidRPr="0055109B" w:rsidRDefault="000444EE" w:rsidP="0055109B">
            <w:pPr>
              <w:spacing w:line="360" w:lineRule="atLeast"/>
              <w:rPr>
                <w:rFonts w:ascii="Times New Roman" w:hAnsi="Times New Roman" w:cs="Times New Roman"/>
                <w:color w:val="000000"/>
                <w:sz w:val="28"/>
                <w:szCs w:val="28"/>
              </w:rPr>
            </w:pPr>
            <w:r w:rsidRPr="000444EE">
              <w:rPr>
                <w:rFonts w:ascii="Times New Roman" w:hAnsi="Times New Roman" w:cs="Times New Roman"/>
                <w:color w:val="000000"/>
                <w:sz w:val="28"/>
                <w:szCs w:val="28"/>
              </w:rPr>
              <w:t>ІV квартал</w:t>
            </w:r>
          </w:p>
        </w:tc>
        <w:tc>
          <w:tcPr>
            <w:tcW w:w="3261" w:type="dxa"/>
          </w:tcPr>
          <w:p w:rsidR="000444EE" w:rsidRPr="000444EE" w:rsidRDefault="000444EE" w:rsidP="000444EE">
            <w:pPr>
              <w:pStyle w:val="ae"/>
              <w:spacing w:after="96" w:line="360" w:lineRule="atLeast"/>
              <w:textAlignment w:val="baseline"/>
              <w:rPr>
                <w:color w:val="000000"/>
                <w:sz w:val="28"/>
                <w:szCs w:val="28"/>
              </w:rPr>
            </w:pPr>
            <w:r>
              <w:rPr>
                <w:color w:val="000000"/>
                <w:sz w:val="28"/>
                <w:szCs w:val="28"/>
              </w:rPr>
              <w:t>Головний розробник:</w:t>
            </w:r>
          </w:p>
          <w:p w:rsidR="000444EE" w:rsidRPr="000444EE" w:rsidRDefault="000444EE" w:rsidP="000444EE">
            <w:pPr>
              <w:pStyle w:val="ae"/>
              <w:spacing w:after="96" w:line="360" w:lineRule="atLeast"/>
              <w:textAlignment w:val="baseline"/>
              <w:rPr>
                <w:color w:val="000000"/>
                <w:sz w:val="28"/>
                <w:szCs w:val="28"/>
              </w:rPr>
            </w:pPr>
            <w:r w:rsidRPr="000444EE">
              <w:rPr>
                <w:color w:val="000000"/>
                <w:sz w:val="28"/>
                <w:szCs w:val="28"/>
              </w:rPr>
              <w:t>Відділ стратегії та норматив</w:t>
            </w:r>
            <w:r>
              <w:rPr>
                <w:color w:val="000000"/>
                <w:sz w:val="28"/>
                <w:szCs w:val="28"/>
              </w:rPr>
              <w:t>но-методологічного забезпечення</w:t>
            </w:r>
          </w:p>
          <w:p w:rsidR="000444EE" w:rsidRPr="000444EE" w:rsidRDefault="000444EE" w:rsidP="000444EE">
            <w:pPr>
              <w:pStyle w:val="ae"/>
              <w:spacing w:after="96" w:line="360" w:lineRule="atLeast"/>
              <w:textAlignment w:val="baseline"/>
              <w:rPr>
                <w:color w:val="000000"/>
                <w:sz w:val="28"/>
                <w:szCs w:val="28"/>
              </w:rPr>
            </w:pPr>
            <w:r>
              <w:rPr>
                <w:color w:val="000000"/>
                <w:sz w:val="28"/>
                <w:szCs w:val="28"/>
              </w:rPr>
              <w:t>Співвиконавці:</w:t>
            </w:r>
          </w:p>
          <w:p w:rsidR="000444EE" w:rsidRPr="0055109B" w:rsidRDefault="000444EE" w:rsidP="000444EE">
            <w:pPr>
              <w:pStyle w:val="ae"/>
              <w:spacing w:after="96" w:line="360" w:lineRule="atLeast"/>
              <w:textAlignment w:val="baseline"/>
              <w:rPr>
                <w:color w:val="000000"/>
                <w:sz w:val="28"/>
                <w:szCs w:val="28"/>
              </w:rPr>
            </w:pPr>
            <w:r w:rsidRPr="000444EE">
              <w:rPr>
                <w:color w:val="000000"/>
                <w:sz w:val="28"/>
                <w:szCs w:val="28"/>
              </w:rPr>
              <w:t>Департамент дистанційного та інспекційного моніторингу діяльності банків»</w:t>
            </w:r>
          </w:p>
        </w:tc>
      </w:tr>
    </w:tbl>
    <w:p w:rsidR="00DE31BD" w:rsidRPr="0055109B" w:rsidRDefault="00DE31BD" w:rsidP="00DE31BD">
      <w:pPr>
        <w:jc w:val="both"/>
        <w:rPr>
          <w:rFonts w:ascii="Times New Roman" w:hAnsi="Times New Roman" w:cs="Times New Roman"/>
          <w:sz w:val="28"/>
          <w:szCs w:val="28"/>
        </w:rPr>
      </w:pPr>
    </w:p>
    <w:p w:rsidR="00DE31BD" w:rsidRPr="0055109B" w:rsidRDefault="00533D55" w:rsidP="00533D55">
      <w:pPr>
        <w:spacing w:after="0" w:line="240" w:lineRule="auto"/>
        <w:rPr>
          <w:rFonts w:ascii="Times New Roman" w:hAnsi="Times New Roman" w:cs="Times New Roman"/>
          <w:b/>
          <w:sz w:val="28"/>
          <w:szCs w:val="28"/>
        </w:rPr>
      </w:pPr>
      <w:r w:rsidRPr="0055109B">
        <w:rPr>
          <w:rFonts w:ascii="Times New Roman" w:hAnsi="Times New Roman" w:cs="Times New Roman"/>
          <w:b/>
          <w:sz w:val="28"/>
          <w:szCs w:val="28"/>
        </w:rPr>
        <w:t>Начальник відділу стратегії та</w:t>
      </w:r>
    </w:p>
    <w:p w:rsidR="00533D55" w:rsidRPr="0055109B" w:rsidRDefault="00533D55" w:rsidP="00533D55">
      <w:pPr>
        <w:spacing w:after="0" w:line="240" w:lineRule="auto"/>
        <w:rPr>
          <w:rFonts w:ascii="Times New Roman" w:hAnsi="Times New Roman" w:cs="Times New Roman"/>
          <w:b/>
          <w:sz w:val="28"/>
          <w:szCs w:val="28"/>
        </w:rPr>
      </w:pPr>
      <w:r w:rsidRPr="0055109B">
        <w:rPr>
          <w:rFonts w:ascii="Times New Roman" w:hAnsi="Times New Roman" w:cs="Times New Roman"/>
          <w:b/>
          <w:sz w:val="28"/>
          <w:szCs w:val="28"/>
        </w:rPr>
        <w:t>нормативно-методологічного</w:t>
      </w:r>
    </w:p>
    <w:p w:rsidR="00A800F8" w:rsidRPr="000444EE" w:rsidRDefault="00533D55" w:rsidP="000444EE">
      <w:pPr>
        <w:spacing w:after="0" w:line="240" w:lineRule="auto"/>
        <w:rPr>
          <w:rFonts w:ascii="Times New Roman" w:hAnsi="Times New Roman" w:cs="Times New Roman"/>
          <w:b/>
          <w:sz w:val="28"/>
          <w:szCs w:val="28"/>
        </w:rPr>
      </w:pPr>
      <w:r w:rsidRPr="0055109B">
        <w:rPr>
          <w:rFonts w:ascii="Times New Roman" w:hAnsi="Times New Roman" w:cs="Times New Roman"/>
          <w:b/>
          <w:sz w:val="28"/>
          <w:szCs w:val="28"/>
        </w:rPr>
        <w:t>забезпечення</w:t>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r>
      <w:r w:rsidRPr="0055109B">
        <w:rPr>
          <w:rFonts w:ascii="Times New Roman" w:hAnsi="Times New Roman" w:cs="Times New Roman"/>
          <w:b/>
          <w:sz w:val="28"/>
          <w:szCs w:val="28"/>
        </w:rPr>
        <w:tab/>
        <w:t>Н.О. Лапаєва</w:t>
      </w:r>
      <w:bookmarkStart w:id="0" w:name="_GoBack"/>
      <w:bookmarkEnd w:id="0"/>
    </w:p>
    <w:sectPr w:rsidR="00A800F8" w:rsidRPr="000444EE" w:rsidSect="00533D55">
      <w:headerReference w:type="default" r:id="rId7"/>
      <w:footerReference w:type="default" r:id="rId8"/>
      <w:pgSz w:w="16838" w:h="11906" w:orient="landscape"/>
      <w:pgMar w:top="1417" w:right="850" w:bottom="426"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97" w:rsidRDefault="00050697" w:rsidP="00DE31BD">
      <w:pPr>
        <w:spacing w:after="0" w:line="240" w:lineRule="auto"/>
      </w:pPr>
      <w:r>
        <w:separator/>
      </w:r>
    </w:p>
  </w:endnote>
  <w:endnote w:type="continuationSeparator" w:id="0">
    <w:p w:rsidR="00050697" w:rsidRDefault="00050697" w:rsidP="00DE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6520"/>
      <w:docPartObj>
        <w:docPartGallery w:val="Page Numbers (Bottom of Page)"/>
        <w:docPartUnique/>
      </w:docPartObj>
    </w:sdtPr>
    <w:sdtEndPr/>
    <w:sdtContent>
      <w:p w:rsidR="00AF5002" w:rsidRDefault="00050697">
        <w:pPr>
          <w:pStyle w:val="a9"/>
          <w:jc w:val="center"/>
        </w:pPr>
      </w:p>
    </w:sdtContent>
  </w:sdt>
  <w:p w:rsidR="00AF5002" w:rsidRDefault="00AF50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97" w:rsidRDefault="00050697" w:rsidP="00DE31BD">
      <w:pPr>
        <w:spacing w:after="0" w:line="240" w:lineRule="auto"/>
      </w:pPr>
      <w:r>
        <w:separator/>
      </w:r>
    </w:p>
  </w:footnote>
  <w:footnote w:type="continuationSeparator" w:id="0">
    <w:p w:rsidR="00050697" w:rsidRDefault="00050697" w:rsidP="00DE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326720"/>
      <w:docPartObj>
        <w:docPartGallery w:val="Page Numbers (Top of Page)"/>
        <w:docPartUnique/>
      </w:docPartObj>
    </w:sdtPr>
    <w:sdtEndPr/>
    <w:sdtContent>
      <w:p w:rsidR="00FB53AB" w:rsidRDefault="00FB53AB">
        <w:pPr>
          <w:pStyle w:val="a7"/>
          <w:jc w:val="center"/>
        </w:pPr>
        <w:r>
          <w:fldChar w:fldCharType="begin"/>
        </w:r>
        <w:r>
          <w:instrText>PAGE   \* MERGEFORMAT</w:instrText>
        </w:r>
        <w:r>
          <w:fldChar w:fldCharType="separate"/>
        </w:r>
        <w:r w:rsidR="000444EE">
          <w:rPr>
            <w:noProof/>
          </w:rPr>
          <w:t>4</w:t>
        </w:r>
        <w:r>
          <w:fldChar w:fldCharType="end"/>
        </w:r>
      </w:p>
    </w:sdtContent>
  </w:sdt>
  <w:p w:rsidR="00FB53AB" w:rsidRDefault="00FB53A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E3"/>
    <w:rsid w:val="000444EE"/>
    <w:rsid w:val="00050697"/>
    <w:rsid w:val="002A319E"/>
    <w:rsid w:val="002E62A3"/>
    <w:rsid w:val="003C45B0"/>
    <w:rsid w:val="004E7DBF"/>
    <w:rsid w:val="00522180"/>
    <w:rsid w:val="00531A03"/>
    <w:rsid w:val="00533D55"/>
    <w:rsid w:val="0055109B"/>
    <w:rsid w:val="005C17DB"/>
    <w:rsid w:val="00684493"/>
    <w:rsid w:val="006B2CF2"/>
    <w:rsid w:val="006D5EF4"/>
    <w:rsid w:val="0075349E"/>
    <w:rsid w:val="00770F9F"/>
    <w:rsid w:val="00843413"/>
    <w:rsid w:val="008D55C1"/>
    <w:rsid w:val="00940C59"/>
    <w:rsid w:val="009C0780"/>
    <w:rsid w:val="00A663EE"/>
    <w:rsid w:val="00A800F8"/>
    <w:rsid w:val="00AF5002"/>
    <w:rsid w:val="00B12B66"/>
    <w:rsid w:val="00C23595"/>
    <w:rsid w:val="00C524EC"/>
    <w:rsid w:val="00C672BB"/>
    <w:rsid w:val="00C676E3"/>
    <w:rsid w:val="00D02BBF"/>
    <w:rsid w:val="00D234B3"/>
    <w:rsid w:val="00D46411"/>
    <w:rsid w:val="00D5580C"/>
    <w:rsid w:val="00D60B3A"/>
    <w:rsid w:val="00DA6D08"/>
    <w:rsid w:val="00DB1588"/>
    <w:rsid w:val="00DD4B5D"/>
    <w:rsid w:val="00DE31BD"/>
    <w:rsid w:val="00DE77BD"/>
    <w:rsid w:val="00E82C25"/>
    <w:rsid w:val="00F046C3"/>
    <w:rsid w:val="00F728A7"/>
    <w:rsid w:val="00FB53AB"/>
    <w:rsid w:val="00FE5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BCD08-435A-4B86-A831-B1A20244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80C"/>
    <w:pPr>
      <w:spacing w:after="0" w:line="240" w:lineRule="auto"/>
      <w:ind w:left="720"/>
      <w:contextualSpacing/>
    </w:pPr>
    <w:rPr>
      <w:rFonts w:ascii="Times New Roman" w:eastAsia="Times New Roman" w:hAnsi="Times New Roman" w:cs="Times New Roman"/>
      <w:sz w:val="24"/>
      <w:szCs w:val="24"/>
      <w:lang w:eastAsia="uk-UA"/>
    </w:rPr>
  </w:style>
  <w:style w:type="table" w:styleId="a4">
    <w:name w:val="Table Grid"/>
    <w:basedOn w:val="a1"/>
    <w:uiPriority w:val="39"/>
    <w:rsid w:val="00DE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0">
    <w:name w:val="Font Style50"/>
    <w:rsid w:val="00DE31BD"/>
    <w:rPr>
      <w:rFonts w:ascii="Times New Roman" w:hAnsi="Times New Roman" w:cs="Times New Roman"/>
      <w:b/>
      <w:bCs/>
      <w:i/>
      <w:iCs/>
      <w:sz w:val="24"/>
      <w:szCs w:val="24"/>
    </w:rPr>
  </w:style>
  <w:style w:type="character" w:customStyle="1" w:styleId="rvts9">
    <w:name w:val="rvts9"/>
    <w:rsid w:val="00DE31BD"/>
  </w:style>
  <w:style w:type="paragraph" w:styleId="a5">
    <w:name w:val="Plain Text"/>
    <w:basedOn w:val="a"/>
    <w:link w:val="a6"/>
    <w:uiPriority w:val="99"/>
    <w:unhideWhenUsed/>
    <w:rsid w:val="00DE31BD"/>
    <w:pPr>
      <w:spacing w:after="0" w:line="240" w:lineRule="auto"/>
    </w:pPr>
    <w:rPr>
      <w:rFonts w:ascii="Calibri" w:hAnsi="Calibri"/>
      <w:szCs w:val="21"/>
    </w:rPr>
  </w:style>
  <w:style w:type="character" w:customStyle="1" w:styleId="a6">
    <w:name w:val="Текст Знак"/>
    <w:basedOn w:val="a0"/>
    <w:link w:val="a5"/>
    <w:uiPriority w:val="99"/>
    <w:rsid w:val="00DE31BD"/>
    <w:rPr>
      <w:rFonts w:ascii="Calibri" w:hAnsi="Calibri"/>
      <w:szCs w:val="21"/>
    </w:rPr>
  </w:style>
  <w:style w:type="paragraph" w:styleId="a7">
    <w:name w:val="header"/>
    <w:basedOn w:val="a"/>
    <w:link w:val="a8"/>
    <w:uiPriority w:val="99"/>
    <w:unhideWhenUsed/>
    <w:rsid w:val="00DE31B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DE31BD"/>
  </w:style>
  <w:style w:type="paragraph" w:styleId="a9">
    <w:name w:val="footer"/>
    <w:basedOn w:val="a"/>
    <w:link w:val="aa"/>
    <w:uiPriority w:val="99"/>
    <w:unhideWhenUsed/>
    <w:rsid w:val="00DE31B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DE31BD"/>
  </w:style>
  <w:style w:type="paragraph" w:styleId="ab">
    <w:name w:val="Balloon Text"/>
    <w:basedOn w:val="a"/>
    <w:link w:val="ac"/>
    <w:uiPriority w:val="99"/>
    <w:semiHidden/>
    <w:unhideWhenUsed/>
    <w:rsid w:val="0084341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843413"/>
    <w:rPr>
      <w:rFonts w:ascii="Segoe UI" w:hAnsi="Segoe UI" w:cs="Segoe UI"/>
      <w:sz w:val="18"/>
      <w:szCs w:val="18"/>
    </w:rPr>
  </w:style>
  <w:style w:type="character" w:styleId="ad">
    <w:name w:val="Strong"/>
    <w:basedOn w:val="a0"/>
    <w:uiPriority w:val="22"/>
    <w:qFormat/>
    <w:rsid w:val="0055109B"/>
    <w:rPr>
      <w:b/>
      <w:bCs/>
    </w:rPr>
  </w:style>
  <w:style w:type="paragraph" w:styleId="ae">
    <w:name w:val="Normal (Web)"/>
    <w:basedOn w:val="a"/>
    <w:uiPriority w:val="99"/>
    <w:semiHidden/>
    <w:unhideWhenUsed/>
    <w:rsid w:val="0055109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EFDA-C8D6-4ABD-82DD-E1DEDE47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3655</Words>
  <Characters>2084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Коноваленко Ірина Валеріївна</dc:creator>
  <cp:keywords/>
  <dc:description/>
  <cp:lastModifiedBy>Цигура Максим Сергійович</cp:lastModifiedBy>
  <cp:revision>4</cp:revision>
  <cp:lastPrinted>2018-12-05T12:26:00Z</cp:lastPrinted>
  <dcterms:created xsi:type="dcterms:W3CDTF">2019-01-18T14:25:00Z</dcterms:created>
  <dcterms:modified xsi:type="dcterms:W3CDTF">2019-11-26T13:20:00Z</dcterms:modified>
</cp:coreProperties>
</file>