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639"/>
      </w:tblGrid>
      <w:tr w:rsidR="002309AF" w:rsidRPr="002309AF" w:rsidTr="00A95416">
        <w:tc>
          <w:tcPr>
            <w:tcW w:w="9639" w:type="dxa"/>
            <w:hideMark/>
          </w:tcPr>
          <w:p w:rsidR="002309AF" w:rsidRPr="002309AF" w:rsidRDefault="002309AF" w:rsidP="002309AF">
            <w:pPr>
              <w:spacing w:before="120" w:after="120" w:line="360" w:lineRule="auto"/>
              <w:textAlignment w:val="baseline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309AF">
              <w:rPr>
                <w:rFonts w:eastAsia="Times New Roman" w:cs="Times New Roman"/>
                <w:noProof/>
                <w:color w:val="000000"/>
                <w:szCs w:val="28"/>
                <w:lang w:val="ru-RU" w:eastAsia="ru-RU"/>
              </w:rPr>
              <w:drawing>
                <wp:inline distT="0" distB="0" distL="0" distR="0">
                  <wp:extent cx="571500" cy="762000"/>
                  <wp:effectExtent l="0" t="0" r="0" b="0"/>
                  <wp:docPr id="2" name="Рисунок 1" descr="http://zakonst.rada.gov.ua/images/ger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zakonst.rada.gov.ua/images/ger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09AF" w:rsidRPr="002309AF" w:rsidTr="00A95416">
        <w:tc>
          <w:tcPr>
            <w:tcW w:w="9639" w:type="dxa"/>
            <w:hideMark/>
          </w:tcPr>
          <w:p w:rsidR="002309AF" w:rsidRPr="002309AF" w:rsidRDefault="002309AF" w:rsidP="002309AF">
            <w:pPr>
              <w:spacing w:line="360" w:lineRule="auto"/>
              <w:textAlignment w:val="baseline"/>
              <w:rPr>
                <w:rFonts w:eastAsia="Times New Roman" w:cs="Times New Roman"/>
                <w:b/>
                <w:bCs/>
                <w:color w:val="000000"/>
                <w:szCs w:val="28"/>
                <w:bdr w:val="none" w:sz="0" w:space="0" w:color="auto" w:frame="1"/>
                <w:lang w:eastAsia="uk-UA"/>
              </w:rPr>
            </w:pPr>
            <w:r w:rsidRPr="002309AF">
              <w:rPr>
                <w:rFonts w:eastAsia="Times New Roman" w:cs="Times New Roman"/>
                <w:b/>
                <w:bCs/>
                <w:color w:val="000000"/>
                <w:szCs w:val="28"/>
                <w:bdr w:val="none" w:sz="0" w:space="0" w:color="auto" w:frame="1"/>
                <w:lang w:eastAsia="uk-UA"/>
              </w:rPr>
              <w:t xml:space="preserve">ВИКОНАВЧА ДИРЕКЦІЯ </w:t>
            </w:r>
          </w:p>
          <w:p w:rsidR="002309AF" w:rsidRPr="002309AF" w:rsidRDefault="002309AF" w:rsidP="002309AF">
            <w:pPr>
              <w:spacing w:line="360" w:lineRule="auto"/>
              <w:textAlignment w:val="baseline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309AF">
              <w:rPr>
                <w:rFonts w:eastAsia="Times New Roman" w:cs="Times New Roman"/>
                <w:b/>
                <w:bCs/>
                <w:color w:val="000000"/>
                <w:szCs w:val="28"/>
                <w:bdr w:val="none" w:sz="0" w:space="0" w:color="auto" w:frame="1"/>
                <w:lang w:eastAsia="uk-UA"/>
              </w:rPr>
              <w:t>ФОНДУ ГАРАНТУВАННЯ ВКЛАДІВ ФІЗИЧНИХ ОСІБ</w:t>
            </w:r>
          </w:p>
        </w:tc>
      </w:tr>
      <w:tr w:rsidR="002309AF" w:rsidRPr="002309AF" w:rsidTr="00A95416">
        <w:tc>
          <w:tcPr>
            <w:tcW w:w="9639" w:type="dxa"/>
            <w:hideMark/>
          </w:tcPr>
          <w:p w:rsidR="002309AF" w:rsidRPr="002309AF" w:rsidRDefault="002309AF" w:rsidP="002309AF">
            <w:pPr>
              <w:spacing w:before="120" w:after="120" w:line="360" w:lineRule="auto"/>
              <w:textAlignment w:val="baseline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309AF">
              <w:rPr>
                <w:rFonts w:eastAsia="Times New Roman" w:cs="Times New Roman"/>
                <w:b/>
                <w:bCs/>
                <w:color w:val="000000"/>
                <w:szCs w:val="28"/>
                <w:bdr w:val="none" w:sz="0" w:space="0" w:color="auto" w:frame="1"/>
                <w:lang w:eastAsia="uk-UA"/>
              </w:rPr>
              <w:t>РІШЕННЯ</w:t>
            </w:r>
          </w:p>
        </w:tc>
      </w:tr>
      <w:tr w:rsidR="002309AF" w:rsidRPr="002309AF" w:rsidTr="00A95416">
        <w:tc>
          <w:tcPr>
            <w:tcW w:w="9639" w:type="dxa"/>
            <w:hideMark/>
          </w:tcPr>
          <w:p w:rsidR="002309AF" w:rsidRPr="002309AF" w:rsidRDefault="002309AF" w:rsidP="002309AF">
            <w:pPr>
              <w:tabs>
                <w:tab w:val="center" w:pos="4819"/>
              </w:tabs>
              <w:spacing w:before="120" w:after="120" w:line="360" w:lineRule="auto"/>
              <w:ind w:left="450" w:right="450"/>
              <w:jc w:val="left"/>
              <w:textAlignment w:val="baseline"/>
              <w:rPr>
                <w:rFonts w:eastAsia="Times New Roman" w:cs="Times New Roman"/>
                <w:bCs/>
                <w:color w:val="000000"/>
                <w:szCs w:val="28"/>
                <w:bdr w:val="none" w:sz="0" w:space="0" w:color="auto" w:frame="1"/>
                <w:lang w:eastAsia="uk-UA"/>
              </w:rPr>
            </w:pPr>
            <w:r w:rsidRPr="002309AF">
              <w:rPr>
                <w:rFonts w:eastAsia="Times New Roman" w:cs="Times New Roman"/>
                <w:bCs/>
                <w:color w:val="000000"/>
                <w:szCs w:val="28"/>
                <w:bdr w:val="none" w:sz="0" w:space="0" w:color="auto" w:frame="1"/>
                <w:lang w:eastAsia="uk-UA"/>
              </w:rPr>
              <w:t>30.06.2017</w:t>
            </w:r>
            <w:r w:rsidRPr="002309AF">
              <w:rPr>
                <w:rFonts w:eastAsia="Times New Roman" w:cs="Times New Roman"/>
                <w:bCs/>
                <w:color w:val="000000"/>
                <w:szCs w:val="28"/>
                <w:bdr w:val="none" w:sz="0" w:space="0" w:color="auto" w:frame="1"/>
                <w:lang w:eastAsia="uk-UA"/>
              </w:rPr>
              <w:tab/>
              <w:t xml:space="preserve">                                     м. Київ                                            № 2783</w:t>
            </w:r>
          </w:p>
          <w:p w:rsidR="002309AF" w:rsidRPr="002309AF" w:rsidRDefault="002309AF" w:rsidP="002309AF">
            <w:pPr>
              <w:spacing w:line="259" w:lineRule="auto"/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2309AF">
              <w:rPr>
                <w:rFonts w:eastAsia="Times New Roman" w:cs="Times New Roman"/>
                <w:szCs w:val="28"/>
                <w:lang w:eastAsia="ru-RU"/>
              </w:rPr>
              <w:t xml:space="preserve">Зареєстровано в Міністерстві юстиції України </w:t>
            </w:r>
          </w:p>
          <w:p w:rsidR="002309AF" w:rsidRPr="002309AF" w:rsidRDefault="002309AF" w:rsidP="002309AF">
            <w:pPr>
              <w:spacing w:line="259" w:lineRule="auto"/>
              <w:ind w:left="3540" w:firstLine="708"/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2309AF">
              <w:rPr>
                <w:rFonts w:eastAsia="Times New Roman" w:cs="Times New Roman"/>
                <w:szCs w:val="28"/>
                <w:lang w:eastAsia="ru-RU"/>
              </w:rPr>
              <w:t>27липня 2017 року за № 915/30783</w:t>
            </w:r>
          </w:p>
          <w:p w:rsidR="002309AF" w:rsidRPr="002309AF" w:rsidRDefault="002309AF" w:rsidP="002309AF">
            <w:pPr>
              <w:spacing w:before="120" w:after="120" w:line="360" w:lineRule="auto"/>
              <w:ind w:right="4819"/>
              <w:jc w:val="both"/>
              <w:textAlignment w:val="baseline"/>
              <w:rPr>
                <w:rFonts w:eastAsia="Times New Roman" w:cs="Times New Roman"/>
                <w:bCs/>
                <w:color w:val="000000"/>
                <w:szCs w:val="28"/>
                <w:bdr w:val="none" w:sz="0" w:space="0" w:color="auto" w:frame="1"/>
                <w:lang w:eastAsia="uk-UA"/>
              </w:rPr>
            </w:pPr>
            <w:r w:rsidRPr="002309AF">
              <w:rPr>
                <w:rFonts w:eastAsia="Times New Roman" w:cs="Times New Roman"/>
                <w:b/>
                <w:bCs/>
                <w:color w:val="000000"/>
                <w:szCs w:val="28"/>
                <w:bdr w:val="none" w:sz="0" w:space="0" w:color="auto" w:frame="1"/>
                <w:lang w:eastAsia="uk-UA"/>
              </w:rPr>
              <w:t>Щодо внесення змін до рішення виконавчої дирекції Фонду гарантування вкладів фізичних осіб від 13 березня 2017 року № 979</w:t>
            </w:r>
          </w:p>
        </w:tc>
      </w:tr>
      <w:tr w:rsidR="002309AF" w:rsidRPr="002309AF" w:rsidTr="00A95416">
        <w:tc>
          <w:tcPr>
            <w:tcW w:w="9639" w:type="dxa"/>
          </w:tcPr>
          <w:p w:rsidR="002309AF" w:rsidRPr="002309AF" w:rsidRDefault="002309AF" w:rsidP="002309AF">
            <w:pPr>
              <w:spacing w:before="120" w:after="120" w:line="360" w:lineRule="auto"/>
              <w:ind w:left="450" w:right="450"/>
              <w:textAlignment w:val="baseline"/>
              <w:rPr>
                <w:rFonts w:eastAsia="Times New Roman" w:cs="Times New Roman"/>
                <w:bCs/>
                <w:color w:val="000000"/>
                <w:szCs w:val="28"/>
                <w:bdr w:val="none" w:sz="0" w:space="0" w:color="auto" w:frame="1"/>
                <w:lang w:eastAsia="uk-UA"/>
              </w:rPr>
            </w:pPr>
          </w:p>
        </w:tc>
      </w:tr>
    </w:tbl>
    <w:p w:rsidR="002309AF" w:rsidRPr="002309AF" w:rsidRDefault="002309AF" w:rsidP="002309AF">
      <w:pPr>
        <w:shd w:val="clear" w:color="auto" w:fill="FFFFFF"/>
        <w:spacing w:before="120" w:after="120" w:line="360" w:lineRule="auto"/>
        <w:jc w:val="both"/>
        <w:textAlignment w:val="baseline"/>
        <w:rPr>
          <w:rFonts w:eastAsia="Calibri" w:cs="Times New Roman"/>
        </w:rPr>
      </w:pPr>
      <w:bookmarkStart w:id="0" w:name="n3"/>
      <w:bookmarkStart w:id="1" w:name="n4"/>
      <w:bookmarkStart w:id="2" w:name="n5"/>
      <w:bookmarkEnd w:id="0"/>
      <w:bookmarkEnd w:id="1"/>
      <w:bookmarkEnd w:id="2"/>
      <w:r w:rsidRPr="002309AF">
        <w:rPr>
          <w:rFonts w:eastAsia="Times New Roman" w:cs="Times New Roman"/>
          <w:color w:val="000000"/>
          <w:szCs w:val="28"/>
          <w:lang w:eastAsia="uk-UA"/>
        </w:rPr>
        <w:tab/>
        <w:t xml:space="preserve">Відповідно до </w:t>
      </w:r>
      <w:hyperlink r:id="rId7" w:anchor="n173" w:tgtFrame="_blank" w:history="1">
        <w:r w:rsidRPr="002309AF">
          <w:rPr>
            <w:rFonts w:eastAsia="Times New Roman" w:cs="Times New Roman"/>
            <w:color w:val="000000"/>
            <w:szCs w:val="28"/>
            <w:bdr w:val="none" w:sz="0" w:space="0" w:color="auto" w:frame="1"/>
            <w:lang w:eastAsia="uk-UA"/>
          </w:rPr>
          <w:t>пункту 14</w:t>
        </w:r>
      </w:hyperlink>
      <w:r w:rsidRPr="002309AF">
        <w:rPr>
          <w:rFonts w:ascii="Calibri" w:eastAsia="Calibri" w:hAnsi="Calibri" w:cs="Times New Roman"/>
          <w:sz w:val="22"/>
        </w:rPr>
        <w:t xml:space="preserve"> </w:t>
      </w:r>
      <w:r w:rsidRPr="002309AF">
        <w:rPr>
          <w:rFonts w:eastAsia="Times New Roman" w:cs="Times New Roman"/>
          <w:color w:val="000000"/>
          <w:szCs w:val="28"/>
          <w:lang w:eastAsia="uk-UA"/>
        </w:rPr>
        <w:t xml:space="preserve">частини п’ятої, </w:t>
      </w:r>
      <w:hyperlink r:id="rId8" w:anchor="n176" w:tgtFrame="_blank" w:history="1">
        <w:r w:rsidRPr="002309AF">
          <w:rPr>
            <w:rFonts w:eastAsia="Times New Roman" w:cs="Times New Roman"/>
            <w:color w:val="000000"/>
            <w:szCs w:val="28"/>
            <w:bdr w:val="none" w:sz="0" w:space="0" w:color="auto" w:frame="1"/>
            <w:lang w:eastAsia="uk-UA"/>
          </w:rPr>
          <w:t>частини шостої</w:t>
        </w:r>
      </w:hyperlink>
      <w:r w:rsidRPr="002309AF">
        <w:rPr>
          <w:rFonts w:ascii="Calibri" w:eastAsia="Calibri" w:hAnsi="Calibri" w:cs="Times New Roman"/>
          <w:sz w:val="22"/>
        </w:rPr>
        <w:t xml:space="preserve"> </w:t>
      </w:r>
      <w:r w:rsidRPr="002309AF">
        <w:rPr>
          <w:rFonts w:eastAsia="Times New Roman" w:cs="Times New Roman"/>
          <w:color w:val="000000"/>
          <w:szCs w:val="28"/>
          <w:lang w:eastAsia="uk-UA"/>
        </w:rPr>
        <w:t xml:space="preserve">статті 12, </w:t>
      </w:r>
      <w:hyperlink r:id="rId9" w:anchor="n614" w:tgtFrame="_blank" w:history="1">
        <w:r w:rsidRPr="002309AF">
          <w:rPr>
            <w:rFonts w:eastAsia="Times New Roman" w:cs="Times New Roman"/>
            <w:color w:val="000000"/>
            <w:szCs w:val="28"/>
            <w:bdr w:val="none" w:sz="0" w:space="0" w:color="auto" w:frame="1"/>
            <w:lang w:eastAsia="uk-UA"/>
          </w:rPr>
          <w:t>частин третьої</w:t>
        </w:r>
      </w:hyperlink>
      <w:r w:rsidRPr="002309AF">
        <w:rPr>
          <w:rFonts w:ascii="Calibri" w:eastAsia="Calibri" w:hAnsi="Calibri" w:cs="Times New Roman"/>
          <w:sz w:val="22"/>
        </w:rPr>
        <w:t xml:space="preserve"> </w:t>
      </w:r>
      <w:r w:rsidRPr="002309AF">
        <w:rPr>
          <w:rFonts w:eastAsia="Times New Roman" w:cs="Times New Roman"/>
          <w:color w:val="000000"/>
          <w:szCs w:val="28"/>
          <w:lang w:eastAsia="uk-UA"/>
        </w:rPr>
        <w:t xml:space="preserve">та </w:t>
      </w:r>
      <w:hyperlink r:id="rId10" w:anchor="n1290" w:tgtFrame="_blank" w:history="1">
        <w:r w:rsidRPr="002309AF">
          <w:rPr>
            <w:rFonts w:eastAsia="Times New Roman" w:cs="Times New Roman"/>
            <w:color w:val="000000"/>
            <w:szCs w:val="28"/>
            <w:bdr w:val="none" w:sz="0" w:space="0" w:color="auto" w:frame="1"/>
            <w:lang w:eastAsia="uk-UA"/>
          </w:rPr>
          <w:t>сьомої</w:t>
        </w:r>
      </w:hyperlink>
      <w:r w:rsidRPr="002309AF">
        <w:rPr>
          <w:rFonts w:ascii="Calibri" w:eastAsia="Calibri" w:hAnsi="Calibri" w:cs="Times New Roman"/>
          <w:sz w:val="22"/>
        </w:rPr>
        <w:t xml:space="preserve"> </w:t>
      </w:r>
      <w:r w:rsidRPr="002309AF">
        <w:rPr>
          <w:rFonts w:eastAsia="Times New Roman" w:cs="Times New Roman"/>
          <w:color w:val="000000"/>
          <w:szCs w:val="28"/>
          <w:lang w:eastAsia="uk-UA"/>
        </w:rPr>
        <w:t xml:space="preserve">статті 51 Закону України «Про систему гарантування вкладів фізичних осіб» виконавча дирекція Фонду гарантування вкладів фізичних осіб </w:t>
      </w:r>
      <w:r w:rsidRPr="002309AF">
        <w:rPr>
          <w:rFonts w:eastAsia="Calibri" w:cs="Times New Roman"/>
          <w:b/>
        </w:rPr>
        <w:t>вирішила</w:t>
      </w:r>
      <w:r w:rsidRPr="002309AF">
        <w:rPr>
          <w:rFonts w:eastAsia="Calibri" w:cs="Times New Roman"/>
        </w:rPr>
        <w:t>:</w:t>
      </w:r>
    </w:p>
    <w:p w:rsidR="002309AF" w:rsidRPr="002309AF" w:rsidRDefault="002309AF" w:rsidP="002309AF">
      <w:pPr>
        <w:spacing w:line="360" w:lineRule="auto"/>
        <w:jc w:val="both"/>
        <w:rPr>
          <w:rFonts w:eastAsia="Calibri" w:cs="Times New Roman"/>
        </w:rPr>
      </w:pPr>
    </w:p>
    <w:p w:rsidR="002309AF" w:rsidRPr="002309AF" w:rsidRDefault="002309AF" w:rsidP="002309AF">
      <w:pPr>
        <w:spacing w:line="360" w:lineRule="auto"/>
        <w:jc w:val="both"/>
        <w:rPr>
          <w:rFonts w:eastAsia="Calibri" w:cs="Times New Roman"/>
        </w:rPr>
      </w:pPr>
      <w:r w:rsidRPr="002309AF">
        <w:rPr>
          <w:rFonts w:eastAsia="Calibri" w:cs="Times New Roman"/>
        </w:rPr>
        <w:tab/>
        <w:t>1. Пункт 2 рішення виконавчої дирекції Фонду гарантування вкладів фізичних осіб від 13 березня 2017 року № 979 «Щодо пілотного проекту щодо реалізації активів (майна) банків, що ліквідуються», зареєстрованого в Міністерстві юстиції України 30 березня 2017 року за № 433/30301, викласти в такій редакції:</w:t>
      </w:r>
    </w:p>
    <w:p w:rsidR="002309AF" w:rsidRPr="002309AF" w:rsidRDefault="002309AF" w:rsidP="002309AF">
      <w:pPr>
        <w:spacing w:line="360" w:lineRule="auto"/>
        <w:jc w:val="both"/>
        <w:rPr>
          <w:rFonts w:eastAsia="Calibri" w:cs="Times New Roman"/>
        </w:rPr>
      </w:pPr>
      <w:r w:rsidRPr="002309AF">
        <w:rPr>
          <w:rFonts w:eastAsia="Calibri" w:cs="Times New Roman"/>
        </w:rPr>
        <w:tab/>
      </w:r>
    </w:p>
    <w:p w:rsidR="002309AF" w:rsidRPr="002309AF" w:rsidRDefault="002309AF" w:rsidP="002309AF">
      <w:pPr>
        <w:spacing w:line="360" w:lineRule="auto"/>
        <w:jc w:val="both"/>
        <w:rPr>
          <w:rFonts w:eastAsia="Calibri" w:cs="Times New Roman"/>
        </w:rPr>
      </w:pPr>
      <w:r w:rsidRPr="002309AF">
        <w:rPr>
          <w:rFonts w:eastAsia="Calibri" w:cs="Times New Roman"/>
        </w:rPr>
        <w:tab/>
        <w:t>«2. Затвердити Положення про пілотний проект щодо реалізації активів (майна) банків, що ліквідуються (додається).».</w:t>
      </w:r>
    </w:p>
    <w:p w:rsidR="002309AF" w:rsidRPr="002309AF" w:rsidRDefault="002309AF" w:rsidP="002309AF">
      <w:pPr>
        <w:spacing w:line="360" w:lineRule="auto"/>
        <w:jc w:val="both"/>
        <w:rPr>
          <w:rFonts w:eastAsia="Calibri" w:cs="Times New Roman"/>
        </w:rPr>
      </w:pPr>
      <w:r w:rsidRPr="002309AF">
        <w:rPr>
          <w:rFonts w:eastAsia="Calibri" w:cs="Times New Roman"/>
        </w:rPr>
        <w:tab/>
      </w:r>
    </w:p>
    <w:p w:rsidR="002309AF" w:rsidRPr="002309AF" w:rsidRDefault="002309AF" w:rsidP="002309AF">
      <w:pPr>
        <w:spacing w:line="360" w:lineRule="auto"/>
        <w:ind w:firstLine="709"/>
        <w:jc w:val="both"/>
        <w:rPr>
          <w:rFonts w:eastAsia="Calibri" w:cs="Times New Roman"/>
        </w:rPr>
      </w:pPr>
    </w:p>
    <w:p w:rsidR="002309AF" w:rsidRPr="002309AF" w:rsidRDefault="002309AF" w:rsidP="002309AF">
      <w:pPr>
        <w:spacing w:line="360" w:lineRule="auto"/>
        <w:ind w:firstLine="709"/>
        <w:jc w:val="both"/>
        <w:rPr>
          <w:rFonts w:eastAsia="Calibri" w:cs="Times New Roman"/>
        </w:rPr>
      </w:pPr>
    </w:p>
    <w:p w:rsidR="002309AF" w:rsidRPr="002309AF" w:rsidRDefault="002309AF" w:rsidP="002309AF">
      <w:pPr>
        <w:shd w:val="clear" w:color="auto" w:fill="FFFFFF"/>
        <w:spacing w:before="120" w:after="120" w:line="360" w:lineRule="auto"/>
        <w:ind w:firstLine="567"/>
        <w:jc w:val="both"/>
        <w:textAlignment w:val="baseline"/>
        <w:rPr>
          <w:rFonts w:eastAsia="Times New Roman" w:cs="Times New Roman"/>
          <w:color w:val="000000"/>
          <w:szCs w:val="28"/>
          <w:lang w:eastAsia="uk-UA"/>
        </w:rPr>
      </w:pPr>
      <w:bookmarkStart w:id="3" w:name="n6"/>
      <w:bookmarkEnd w:id="3"/>
      <w:r w:rsidRPr="002309AF">
        <w:rPr>
          <w:rFonts w:eastAsia="Times New Roman" w:cs="Times New Roman"/>
          <w:color w:val="000000"/>
          <w:szCs w:val="28"/>
          <w:lang w:eastAsia="uk-UA"/>
        </w:rPr>
        <w:t>2. Відділу стратегії та нормативно-методологічного забезпечення разом з юридичним департаментом забезпечити подання цього рішення до Міністерства юстиції України для державної реєстрації.</w:t>
      </w:r>
    </w:p>
    <w:p w:rsidR="002309AF" w:rsidRPr="002309AF" w:rsidRDefault="002309AF" w:rsidP="002309AF">
      <w:pPr>
        <w:shd w:val="clear" w:color="auto" w:fill="FFFFFF"/>
        <w:spacing w:before="120" w:after="120" w:line="360" w:lineRule="auto"/>
        <w:ind w:firstLine="567"/>
        <w:jc w:val="both"/>
        <w:textAlignment w:val="baseline"/>
        <w:rPr>
          <w:rFonts w:eastAsia="Times New Roman" w:cs="Times New Roman"/>
          <w:color w:val="000000"/>
          <w:szCs w:val="28"/>
          <w:lang w:eastAsia="uk-UA"/>
        </w:rPr>
      </w:pPr>
    </w:p>
    <w:p w:rsidR="002309AF" w:rsidRPr="002309AF" w:rsidRDefault="002309AF" w:rsidP="002309AF">
      <w:pPr>
        <w:shd w:val="clear" w:color="auto" w:fill="FFFFFF"/>
        <w:spacing w:before="120" w:after="120" w:line="360" w:lineRule="auto"/>
        <w:ind w:firstLine="567"/>
        <w:jc w:val="both"/>
        <w:textAlignment w:val="baseline"/>
        <w:rPr>
          <w:rFonts w:eastAsia="Times New Roman" w:cs="Times New Roman"/>
          <w:color w:val="000000"/>
          <w:szCs w:val="28"/>
          <w:lang w:eastAsia="uk-UA"/>
        </w:rPr>
      </w:pPr>
      <w:bookmarkStart w:id="4" w:name="n18"/>
      <w:bookmarkEnd w:id="4"/>
      <w:r w:rsidRPr="002309AF">
        <w:rPr>
          <w:rFonts w:eastAsia="Times New Roman" w:cs="Times New Roman"/>
          <w:color w:val="000000"/>
          <w:szCs w:val="28"/>
          <w:lang w:eastAsia="uk-UA"/>
        </w:rPr>
        <w:t>3. Це рішення набирає чинності з дня його офіційного опублікування.</w:t>
      </w:r>
    </w:p>
    <w:p w:rsidR="002309AF" w:rsidRPr="002309AF" w:rsidRDefault="002309AF" w:rsidP="002309AF">
      <w:pPr>
        <w:shd w:val="clear" w:color="auto" w:fill="FFFFFF"/>
        <w:spacing w:before="120" w:after="120" w:line="360" w:lineRule="auto"/>
        <w:ind w:firstLine="567"/>
        <w:jc w:val="both"/>
        <w:textAlignment w:val="baseline"/>
        <w:rPr>
          <w:rFonts w:eastAsia="Times New Roman" w:cs="Times New Roman"/>
          <w:color w:val="000000"/>
          <w:szCs w:val="28"/>
          <w:lang w:eastAsia="uk-UA"/>
        </w:rPr>
      </w:pPr>
    </w:p>
    <w:p w:rsidR="002309AF" w:rsidRPr="002309AF" w:rsidRDefault="002309AF" w:rsidP="002309AF">
      <w:pPr>
        <w:shd w:val="clear" w:color="auto" w:fill="FFFFFF"/>
        <w:spacing w:before="120" w:after="120" w:line="360" w:lineRule="auto"/>
        <w:ind w:firstLine="567"/>
        <w:jc w:val="both"/>
        <w:textAlignment w:val="baseline"/>
        <w:rPr>
          <w:rFonts w:eastAsia="Times New Roman" w:cs="Times New Roman"/>
          <w:color w:val="000000"/>
          <w:szCs w:val="28"/>
          <w:lang w:eastAsia="uk-UA"/>
        </w:rPr>
      </w:pPr>
      <w:bookmarkStart w:id="5" w:name="n19"/>
      <w:bookmarkEnd w:id="5"/>
      <w:r w:rsidRPr="002309AF">
        <w:rPr>
          <w:rFonts w:eastAsia="Times New Roman" w:cs="Times New Roman"/>
          <w:color w:val="000000"/>
          <w:szCs w:val="28"/>
          <w:lang w:eastAsia="uk-UA"/>
        </w:rPr>
        <w:t>4. Відділу зв’язків з громадськістю та фінансової просвіти забезпечити розміщення цього рішення на офіційній сторінці Фонду гарантування вкладів фізичних осіб у мережі Інтернет після його державної реєстрації.</w:t>
      </w:r>
    </w:p>
    <w:p w:rsidR="002309AF" w:rsidRPr="002309AF" w:rsidRDefault="002309AF" w:rsidP="002309AF">
      <w:pPr>
        <w:shd w:val="clear" w:color="auto" w:fill="FFFFFF"/>
        <w:spacing w:before="120" w:after="120" w:line="360" w:lineRule="auto"/>
        <w:ind w:firstLine="567"/>
        <w:jc w:val="both"/>
        <w:textAlignment w:val="baseline"/>
        <w:rPr>
          <w:rFonts w:eastAsia="Times New Roman" w:cs="Times New Roman"/>
          <w:color w:val="000000"/>
          <w:szCs w:val="28"/>
          <w:lang w:eastAsia="uk-UA"/>
        </w:rPr>
      </w:pPr>
    </w:p>
    <w:p w:rsidR="002309AF" w:rsidRPr="002309AF" w:rsidRDefault="002309AF" w:rsidP="002309AF">
      <w:pPr>
        <w:shd w:val="clear" w:color="auto" w:fill="FFFFFF"/>
        <w:spacing w:before="120" w:after="120" w:line="360" w:lineRule="auto"/>
        <w:ind w:firstLine="567"/>
        <w:jc w:val="both"/>
        <w:textAlignment w:val="baseline"/>
        <w:rPr>
          <w:rFonts w:eastAsia="Times New Roman" w:cs="Times New Roman"/>
          <w:color w:val="000000"/>
          <w:szCs w:val="28"/>
          <w:lang w:eastAsia="uk-UA"/>
        </w:rPr>
      </w:pPr>
      <w:bookmarkStart w:id="6" w:name="n20"/>
      <w:bookmarkEnd w:id="6"/>
      <w:r w:rsidRPr="002309AF">
        <w:rPr>
          <w:rFonts w:eastAsia="Times New Roman" w:cs="Times New Roman"/>
          <w:color w:val="000000"/>
          <w:szCs w:val="28"/>
          <w:lang w:eastAsia="uk-UA"/>
        </w:rPr>
        <w:t>5. Контроль за виконанням цього рішення покласти на</w:t>
      </w:r>
      <w:r w:rsidRPr="002309AF">
        <w:rPr>
          <w:rFonts w:eastAsia="Times New Roman" w:cs="Times New Roman"/>
          <w:color w:val="000000"/>
          <w:szCs w:val="28"/>
          <w:lang w:val="ru-RU" w:eastAsia="uk-UA"/>
        </w:rPr>
        <w:t xml:space="preserve"> </w:t>
      </w:r>
      <w:r w:rsidRPr="002309AF">
        <w:rPr>
          <w:rFonts w:eastAsia="Times New Roman" w:cs="Times New Roman"/>
          <w:color w:val="000000"/>
          <w:szCs w:val="28"/>
          <w:lang w:eastAsia="uk-UA"/>
        </w:rPr>
        <w:t>заступника</w:t>
      </w:r>
      <w:r w:rsidRPr="002309AF">
        <w:rPr>
          <w:rFonts w:eastAsia="Times New Roman" w:cs="Times New Roman"/>
          <w:color w:val="000000"/>
          <w:szCs w:val="28"/>
          <w:lang w:val="ru-RU" w:eastAsia="uk-UA"/>
        </w:rPr>
        <w:t xml:space="preserve"> </w:t>
      </w:r>
      <w:r w:rsidRPr="002309AF">
        <w:rPr>
          <w:rFonts w:eastAsia="Times New Roman" w:cs="Times New Roman"/>
          <w:color w:val="000000"/>
          <w:szCs w:val="28"/>
          <w:lang w:eastAsia="uk-UA"/>
        </w:rPr>
        <w:t>директора – розпорядника С.В. Рекрут.</w:t>
      </w:r>
    </w:p>
    <w:p w:rsidR="002309AF" w:rsidRPr="002309AF" w:rsidRDefault="002309AF" w:rsidP="002309AF">
      <w:pPr>
        <w:shd w:val="clear" w:color="auto" w:fill="FFFFFF"/>
        <w:spacing w:before="120" w:after="120" w:line="360" w:lineRule="auto"/>
        <w:ind w:firstLine="450"/>
        <w:jc w:val="both"/>
        <w:textAlignment w:val="baseline"/>
        <w:rPr>
          <w:rFonts w:eastAsia="Times New Roman" w:cs="Times New Roman"/>
          <w:color w:val="000000"/>
          <w:szCs w:val="28"/>
          <w:lang w:eastAsia="uk-UA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048"/>
        <w:gridCol w:w="5591"/>
      </w:tblGrid>
      <w:tr w:rsidR="002309AF" w:rsidRPr="002309AF" w:rsidTr="00A95416">
        <w:tc>
          <w:tcPr>
            <w:tcW w:w="2100" w:type="pct"/>
            <w:hideMark/>
          </w:tcPr>
          <w:p w:rsidR="002309AF" w:rsidRPr="002309AF" w:rsidRDefault="002309AF" w:rsidP="002309AF">
            <w:pPr>
              <w:spacing w:before="120" w:after="120" w:line="360" w:lineRule="auto"/>
              <w:textAlignment w:val="baseline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bookmarkStart w:id="7" w:name="n21"/>
            <w:bookmarkEnd w:id="7"/>
            <w:r w:rsidRPr="002309AF">
              <w:rPr>
                <w:rFonts w:eastAsia="Times New Roman" w:cs="Times New Roman"/>
                <w:b/>
                <w:bCs/>
                <w:color w:val="000000"/>
                <w:szCs w:val="28"/>
                <w:bdr w:val="none" w:sz="0" w:space="0" w:color="auto" w:frame="1"/>
                <w:lang w:eastAsia="uk-UA"/>
              </w:rPr>
              <w:t>Директор – розпорядник</w:t>
            </w:r>
          </w:p>
        </w:tc>
        <w:tc>
          <w:tcPr>
            <w:tcW w:w="3500" w:type="pct"/>
            <w:hideMark/>
          </w:tcPr>
          <w:p w:rsidR="002309AF" w:rsidRPr="002309AF" w:rsidRDefault="002309AF" w:rsidP="002309AF">
            <w:pPr>
              <w:spacing w:before="120" w:after="120" w:line="360" w:lineRule="auto"/>
              <w:jc w:val="right"/>
              <w:textAlignment w:val="baseline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309AF">
              <w:rPr>
                <w:rFonts w:eastAsia="Times New Roman" w:cs="Times New Roman"/>
                <w:b/>
                <w:bCs/>
                <w:color w:val="000000"/>
                <w:szCs w:val="28"/>
                <w:bdr w:val="none" w:sz="0" w:space="0" w:color="auto" w:frame="1"/>
                <w:lang w:eastAsia="uk-UA"/>
              </w:rPr>
              <w:t xml:space="preserve">К.М. </w:t>
            </w:r>
            <w:proofErr w:type="spellStart"/>
            <w:r w:rsidRPr="002309AF">
              <w:rPr>
                <w:rFonts w:eastAsia="Times New Roman" w:cs="Times New Roman"/>
                <w:b/>
                <w:bCs/>
                <w:color w:val="000000"/>
                <w:szCs w:val="28"/>
                <w:bdr w:val="none" w:sz="0" w:space="0" w:color="auto" w:frame="1"/>
                <w:lang w:eastAsia="uk-UA"/>
              </w:rPr>
              <w:t>Ворушилін</w:t>
            </w:r>
            <w:proofErr w:type="spellEnd"/>
          </w:p>
        </w:tc>
      </w:tr>
    </w:tbl>
    <w:p w:rsidR="002309AF" w:rsidRPr="002309AF" w:rsidRDefault="002309AF" w:rsidP="002309AF">
      <w:pPr>
        <w:spacing w:before="120" w:after="120" w:line="360" w:lineRule="auto"/>
        <w:jc w:val="left"/>
        <w:rPr>
          <w:rFonts w:eastAsia="Calibri" w:cs="Times New Roman"/>
          <w:color w:val="000000"/>
          <w:szCs w:val="28"/>
        </w:rPr>
      </w:pPr>
    </w:p>
    <w:p w:rsidR="002309AF" w:rsidRPr="002309AF" w:rsidRDefault="002309AF" w:rsidP="002309AF">
      <w:pPr>
        <w:spacing w:before="120" w:after="120" w:line="360" w:lineRule="auto"/>
        <w:jc w:val="left"/>
        <w:rPr>
          <w:rFonts w:eastAsia="Calibri" w:cs="Times New Roman"/>
          <w:color w:val="000000"/>
          <w:szCs w:val="28"/>
        </w:rPr>
      </w:pPr>
    </w:p>
    <w:p w:rsidR="002309AF" w:rsidRPr="002309AF" w:rsidRDefault="002309AF" w:rsidP="002309AF">
      <w:pPr>
        <w:spacing w:before="120" w:after="120" w:line="360" w:lineRule="auto"/>
        <w:jc w:val="left"/>
        <w:rPr>
          <w:rFonts w:eastAsia="Calibri" w:cs="Times New Roman"/>
          <w:color w:val="000000"/>
          <w:szCs w:val="28"/>
        </w:rPr>
      </w:pPr>
    </w:p>
    <w:p w:rsidR="002309AF" w:rsidRPr="002309AF" w:rsidRDefault="002309AF" w:rsidP="002309AF">
      <w:pPr>
        <w:spacing w:before="120" w:after="120" w:line="360" w:lineRule="auto"/>
        <w:jc w:val="left"/>
        <w:rPr>
          <w:rFonts w:eastAsia="Calibri" w:cs="Times New Roman"/>
          <w:color w:val="000000"/>
          <w:szCs w:val="28"/>
        </w:rPr>
      </w:pPr>
    </w:p>
    <w:tbl>
      <w:tblPr>
        <w:tblW w:w="0" w:type="auto"/>
        <w:tblLook w:val="04A0"/>
      </w:tblPr>
      <w:tblGrid>
        <w:gridCol w:w="3049"/>
        <w:gridCol w:w="2883"/>
        <w:gridCol w:w="3923"/>
      </w:tblGrid>
      <w:tr w:rsidR="002309AF" w:rsidRPr="002309AF" w:rsidTr="00A95416">
        <w:tc>
          <w:tcPr>
            <w:tcW w:w="3049" w:type="dxa"/>
            <w:shd w:val="clear" w:color="auto" w:fill="auto"/>
          </w:tcPr>
          <w:p w:rsidR="002309AF" w:rsidRPr="002309AF" w:rsidRDefault="002309AF" w:rsidP="002309AF">
            <w:pPr>
              <w:jc w:val="left"/>
              <w:rPr>
                <w:rFonts w:eastAsia="Calibri" w:cs="Times New Roman"/>
                <w:sz w:val="22"/>
              </w:rPr>
            </w:pPr>
            <w:r w:rsidRPr="002309AF">
              <w:rPr>
                <w:rFonts w:eastAsia="Calibri" w:cs="Times New Roman"/>
                <w:sz w:val="24"/>
                <w:szCs w:val="24"/>
              </w:rPr>
              <w:t>Інд. 12</w:t>
            </w:r>
          </w:p>
        </w:tc>
        <w:tc>
          <w:tcPr>
            <w:tcW w:w="2883" w:type="dxa"/>
          </w:tcPr>
          <w:p w:rsidR="002309AF" w:rsidRPr="002309AF" w:rsidRDefault="002309AF" w:rsidP="002309AF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923" w:type="dxa"/>
            <w:shd w:val="clear" w:color="auto" w:fill="auto"/>
          </w:tcPr>
          <w:p w:rsidR="002309AF" w:rsidRPr="002309AF" w:rsidRDefault="002309AF" w:rsidP="002309AF">
            <w:pPr>
              <w:rPr>
                <w:rFonts w:eastAsia="Calibri" w:cs="Times New Roman"/>
                <w:sz w:val="24"/>
                <w:szCs w:val="24"/>
              </w:rPr>
            </w:pPr>
            <w:r w:rsidRPr="002309AF">
              <w:rPr>
                <w:rFonts w:eastAsia="Calibri" w:cs="Times New Roman"/>
                <w:sz w:val="24"/>
                <w:szCs w:val="24"/>
              </w:rPr>
              <w:t xml:space="preserve">Протокол засідання </w:t>
            </w:r>
          </w:p>
          <w:p w:rsidR="002309AF" w:rsidRPr="002309AF" w:rsidRDefault="002309AF" w:rsidP="002309AF">
            <w:pPr>
              <w:rPr>
                <w:rFonts w:eastAsia="Calibri" w:cs="Times New Roman"/>
                <w:sz w:val="24"/>
                <w:szCs w:val="24"/>
              </w:rPr>
            </w:pPr>
            <w:r w:rsidRPr="002309AF">
              <w:rPr>
                <w:rFonts w:eastAsia="Calibri" w:cs="Times New Roman"/>
                <w:sz w:val="24"/>
                <w:szCs w:val="24"/>
              </w:rPr>
              <w:t xml:space="preserve">виконавчої дирекції Фонду гарантування вкладів фізичних осіб </w:t>
            </w:r>
          </w:p>
          <w:p w:rsidR="002309AF" w:rsidRPr="002309AF" w:rsidRDefault="002309AF" w:rsidP="002309AF">
            <w:pPr>
              <w:rPr>
                <w:rFonts w:eastAsia="Calibri" w:cs="Times New Roman"/>
                <w:sz w:val="24"/>
                <w:szCs w:val="24"/>
              </w:rPr>
            </w:pPr>
            <w:r w:rsidRPr="002309AF">
              <w:rPr>
                <w:rFonts w:eastAsia="Calibri" w:cs="Times New Roman"/>
                <w:sz w:val="24"/>
                <w:szCs w:val="24"/>
              </w:rPr>
              <w:t>від 30.06.2017 № 105/17</w:t>
            </w:r>
          </w:p>
        </w:tc>
      </w:tr>
    </w:tbl>
    <w:p w:rsidR="002309AF" w:rsidRPr="002309AF" w:rsidRDefault="002309AF" w:rsidP="002309AF">
      <w:pPr>
        <w:spacing w:before="120" w:after="120" w:line="360" w:lineRule="auto"/>
        <w:jc w:val="left"/>
        <w:rPr>
          <w:rFonts w:eastAsia="Calibri" w:cs="Times New Roman"/>
          <w:color w:val="000000"/>
          <w:szCs w:val="28"/>
        </w:rPr>
      </w:pPr>
    </w:p>
    <w:p w:rsidR="002309AF" w:rsidRPr="002309AF" w:rsidRDefault="002309AF" w:rsidP="002309AF">
      <w:pPr>
        <w:spacing w:before="120" w:after="120" w:line="360" w:lineRule="auto"/>
        <w:jc w:val="left"/>
        <w:rPr>
          <w:rFonts w:eastAsia="Calibri" w:cs="Times New Roman"/>
          <w:color w:val="000000"/>
          <w:szCs w:val="28"/>
        </w:rPr>
      </w:pPr>
    </w:p>
    <w:p w:rsidR="002309AF" w:rsidRPr="002309AF" w:rsidRDefault="002309AF" w:rsidP="002309AF">
      <w:pPr>
        <w:spacing w:before="120" w:after="120" w:line="360" w:lineRule="auto"/>
        <w:jc w:val="left"/>
        <w:rPr>
          <w:rFonts w:eastAsia="Calibri" w:cs="Times New Roman"/>
          <w:color w:val="000000"/>
          <w:szCs w:val="28"/>
        </w:rPr>
      </w:pPr>
    </w:p>
    <w:p w:rsidR="002309AF" w:rsidRPr="002309AF" w:rsidRDefault="002309AF" w:rsidP="002309AF">
      <w:pPr>
        <w:spacing w:before="120" w:after="120" w:line="360" w:lineRule="auto"/>
        <w:jc w:val="left"/>
        <w:rPr>
          <w:rFonts w:eastAsia="Calibri" w:cs="Times New Roman"/>
          <w:color w:val="000000"/>
          <w:szCs w:val="28"/>
        </w:rPr>
      </w:pPr>
    </w:p>
    <w:p w:rsidR="002309AF" w:rsidRPr="002309AF" w:rsidRDefault="002309AF" w:rsidP="002309AF">
      <w:pPr>
        <w:spacing w:line="240" w:lineRule="auto"/>
        <w:jc w:val="left"/>
        <w:rPr>
          <w:rFonts w:eastAsia="Times New Roman" w:cs="Times New Roman"/>
          <w:szCs w:val="28"/>
          <w:lang w:eastAsia="ru-RU"/>
        </w:rPr>
      </w:pPr>
      <w:r w:rsidRPr="002309AF">
        <w:rPr>
          <w:rFonts w:eastAsia="Times New Roman" w:cs="Times New Roman"/>
          <w:szCs w:val="28"/>
          <w:lang w:eastAsia="ru-RU"/>
        </w:rPr>
        <w:lastRenderedPageBreak/>
        <w:t>Члени виконавчої дирекції:</w:t>
      </w:r>
    </w:p>
    <w:p w:rsidR="002309AF" w:rsidRPr="002309AF" w:rsidRDefault="002309AF" w:rsidP="002309AF">
      <w:pPr>
        <w:spacing w:line="240" w:lineRule="auto"/>
        <w:jc w:val="left"/>
        <w:rPr>
          <w:rFonts w:eastAsia="Times New Roman" w:cs="Times New Roman"/>
          <w:szCs w:val="28"/>
          <w:lang w:eastAsia="ru-RU"/>
        </w:rPr>
      </w:pPr>
    </w:p>
    <w:p w:rsidR="002309AF" w:rsidRPr="002309AF" w:rsidRDefault="002309AF" w:rsidP="002309AF">
      <w:pPr>
        <w:spacing w:line="240" w:lineRule="auto"/>
        <w:jc w:val="left"/>
        <w:rPr>
          <w:rFonts w:eastAsia="Times New Roman" w:cs="Times New Roman"/>
          <w:szCs w:val="28"/>
          <w:lang w:eastAsia="ru-RU"/>
        </w:rPr>
      </w:pPr>
    </w:p>
    <w:p w:rsidR="002309AF" w:rsidRPr="002309AF" w:rsidRDefault="002309AF" w:rsidP="002309AF">
      <w:pPr>
        <w:spacing w:line="240" w:lineRule="auto"/>
        <w:jc w:val="left"/>
        <w:rPr>
          <w:rFonts w:eastAsia="Times New Roman" w:cs="Times New Roman"/>
          <w:szCs w:val="28"/>
          <w:lang w:eastAsia="ru-RU"/>
        </w:rPr>
      </w:pPr>
      <w:r w:rsidRPr="002309AF">
        <w:rPr>
          <w:rFonts w:eastAsia="Times New Roman" w:cs="Times New Roman"/>
          <w:szCs w:val="28"/>
          <w:lang w:eastAsia="ru-RU"/>
        </w:rPr>
        <w:t xml:space="preserve">________________ (А.Я. </w:t>
      </w:r>
      <w:proofErr w:type="spellStart"/>
      <w:r w:rsidRPr="002309AF">
        <w:rPr>
          <w:rFonts w:eastAsia="Times New Roman" w:cs="Times New Roman"/>
          <w:szCs w:val="28"/>
          <w:lang w:eastAsia="ru-RU"/>
        </w:rPr>
        <w:t>Оленчик</w:t>
      </w:r>
      <w:proofErr w:type="spellEnd"/>
      <w:r w:rsidRPr="002309AF">
        <w:rPr>
          <w:rFonts w:eastAsia="Times New Roman" w:cs="Times New Roman"/>
          <w:szCs w:val="28"/>
          <w:lang w:eastAsia="ru-RU"/>
        </w:rPr>
        <w:t>)</w:t>
      </w:r>
    </w:p>
    <w:p w:rsidR="002309AF" w:rsidRPr="002309AF" w:rsidRDefault="002309AF" w:rsidP="002309AF">
      <w:pPr>
        <w:spacing w:line="240" w:lineRule="auto"/>
        <w:jc w:val="left"/>
        <w:rPr>
          <w:rFonts w:eastAsia="Times New Roman" w:cs="Times New Roman"/>
          <w:szCs w:val="28"/>
          <w:lang w:eastAsia="ru-RU"/>
        </w:rPr>
      </w:pPr>
    </w:p>
    <w:p w:rsidR="002309AF" w:rsidRPr="002309AF" w:rsidRDefault="002309AF" w:rsidP="002309AF">
      <w:pPr>
        <w:spacing w:line="240" w:lineRule="auto"/>
        <w:jc w:val="left"/>
        <w:rPr>
          <w:rFonts w:eastAsia="Times New Roman" w:cs="Times New Roman"/>
          <w:szCs w:val="28"/>
          <w:lang w:eastAsia="ru-RU"/>
        </w:rPr>
      </w:pPr>
    </w:p>
    <w:p w:rsidR="002309AF" w:rsidRPr="002309AF" w:rsidRDefault="002309AF" w:rsidP="002309AF">
      <w:pPr>
        <w:spacing w:line="240" w:lineRule="auto"/>
        <w:jc w:val="left"/>
        <w:rPr>
          <w:rFonts w:eastAsia="Times New Roman" w:cs="Times New Roman"/>
          <w:szCs w:val="28"/>
          <w:lang w:eastAsia="ru-RU"/>
        </w:rPr>
      </w:pPr>
      <w:r w:rsidRPr="002309AF">
        <w:rPr>
          <w:rFonts w:eastAsia="Times New Roman" w:cs="Times New Roman"/>
          <w:szCs w:val="28"/>
          <w:lang w:eastAsia="ru-RU"/>
        </w:rPr>
        <w:t>________________ (В.В. Новіков)</w:t>
      </w:r>
    </w:p>
    <w:p w:rsidR="002309AF" w:rsidRPr="002309AF" w:rsidRDefault="002309AF" w:rsidP="002309AF">
      <w:pPr>
        <w:spacing w:line="240" w:lineRule="auto"/>
        <w:jc w:val="left"/>
        <w:rPr>
          <w:rFonts w:eastAsia="Times New Roman" w:cs="Times New Roman"/>
          <w:szCs w:val="28"/>
          <w:lang w:eastAsia="ru-RU"/>
        </w:rPr>
      </w:pPr>
    </w:p>
    <w:p w:rsidR="002309AF" w:rsidRPr="002309AF" w:rsidRDefault="002309AF" w:rsidP="002309AF">
      <w:pPr>
        <w:spacing w:line="240" w:lineRule="auto"/>
        <w:jc w:val="left"/>
        <w:rPr>
          <w:rFonts w:eastAsia="Times New Roman" w:cs="Times New Roman"/>
          <w:szCs w:val="28"/>
          <w:lang w:eastAsia="ru-RU"/>
        </w:rPr>
      </w:pPr>
    </w:p>
    <w:p w:rsidR="002309AF" w:rsidRPr="002309AF" w:rsidRDefault="002309AF" w:rsidP="002309AF">
      <w:pPr>
        <w:spacing w:line="240" w:lineRule="auto"/>
        <w:jc w:val="left"/>
        <w:rPr>
          <w:rFonts w:eastAsia="Times New Roman" w:cs="Times New Roman"/>
          <w:szCs w:val="28"/>
          <w:lang w:eastAsia="ru-RU"/>
        </w:rPr>
      </w:pPr>
      <w:r w:rsidRPr="002309AF">
        <w:rPr>
          <w:rFonts w:eastAsia="Times New Roman" w:cs="Times New Roman"/>
          <w:szCs w:val="28"/>
          <w:lang w:eastAsia="ru-RU"/>
        </w:rPr>
        <w:t>_______________ (О.В. Нужненко)</w:t>
      </w:r>
    </w:p>
    <w:p w:rsidR="002309AF" w:rsidRPr="002309AF" w:rsidRDefault="002309AF" w:rsidP="002309AF">
      <w:pPr>
        <w:spacing w:line="240" w:lineRule="auto"/>
        <w:jc w:val="left"/>
        <w:rPr>
          <w:rFonts w:eastAsia="Times New Roman" w:cs="Times New Roman"/>
          <w:szCs w:val="28"/>
          <w:lang w:eastAsia="ru-RU"/>
        </w:rPr>
      </w:pPr>
    </w:p>
    <w:p w:rsidR="002309AF" w:rsidRPr="002309AF" w:rsidRDefault="002309AF" w:rsidP="002309AF">
      <w:pPr>
        <w:spacing w:line="240" w:lineRule="auto"/>
        <w:jc w:val="left"/>
        <w:rPr>
          <w:rFonts w:eastAsia="Times New Roman" w:cs="Times New Roman"/>
          <w:szCs w:val="28"/>
          <w:lang w:eastAsia="ru-RU"/>
        </w:rPr>
      </w:pPr>
    </w:p>
    <w:p w:rsidR="002309AF" w:rsidRPr="002309AF" w:rsidRDefault="002309AF" w:rsidP="002309AF">
      <w:pPr>
        <w:spacing w:line="240" w:lineRule="auto"/>
        <w:jc w:val="left"/>
        <w:rPr>
          <w:rFonts w:eastAsia="Times New Roman" w:cs="Times New Roman"/>
          <w:szCs w:val="28"/>
          <w:lang w:eastAsia="ru-RU"/>
        </w:rPr>
      </w:pPr>
      <w:r w:rsidRPr="002309AF">
        <w:rPr>
          <w:rFonts w:eastAsia="Times New Roman" w:cs="Times New Roman"/>
          <w:szCs w:val="28"/>
          <w:lang w:eastAsia="ru-RU"/>
        </w:rPr>
        <w:t>_______________ (Н.Є. Рудуха)</w:t>
      </w:r>
    </w:p>
    <w:p w:rsidR="002309AF" w:rsidRPr="002309AF" w:rsidRDefault="002309AF" w:rsidP="002309AF">
      <w:pPr>
        <w:spacing w:line="240" w:lineRule="auto"/>
        <w:jc w:val="left"/>
        <w:rPr>
          <w:rFonts w:eastAsia="Times New Roman" w:cs="Times New Roman"/>
          <w:szCs w:val="28"/>
          <w:lang w:eastAsia="ru-RU"/>
        </w:rPr>
      </w:pPr>
    </w:p>
    <w:p w:rsidR="002309AF" w:rsidRPr="002309AF" w:rsidRDefault="002309AF" w:rsidP="002309AF">
      <w:pPr>
        <w:spacing w:line="240" w:lineRule="auto"/>
        <w:jc w:val="left"/>
        <w:rPr>
          <w:rFonts w:eastAsia="Times New Roman" w:cs="Times New Roman"/>
          <w:szCs w:val="28"/>
          <w:lang w:eastAsia="ru-RU"/>
        </w:rPr>
      </w:pPr>
    </w:p>
    <w:p w:rsidR="002309AF" w:rsidRPr="002309AF" w:rsidRDefault="002309AF" w:rsidP="002309AF">
      <w:pPr>
        <w:spacing w:line="240" w:lineRule="auto"/>
        <w:jc w:val="left"/>
        <w:rPr>
          <w:rFonts w:eastAsia="Times New Roman" w:cs="Times New Roman"/>
          <w:szCs w:val="28"/>
          <w:lang w:eastAsia="ru-RU"/>
        </w:rPr>
      </w:pPr>
      <w:r w:rsidRPr="002309AF">
        <w:rPr>
          <w:rFonts w:eastAsia="Times New Roman" w:cs="Times New Roman"/>
          <w:szCs w:val="28"/>
          <w:lang w:eastAsia="ru-RU"/>
        </w:rPr>
        <w:t>_______________ (С.В. Рекрут)</w:t>
      </w:r>
    </w:p>
    <w:p w:rsidR="002309AF" w:rsidRPr="002309AF" w:rsidRDefault="002309AF" w:rsidP="002309AF">
      <w:pPr>
        <w:spacing w:line="240" w:lineRule="auto"/>
        <w:jc w:val="left"/>
        <w:rPr>
          <w:rFonts w:eastAsia="Times New Roman" w:cs="Times New Roman"/>
          <w:szCs w:val="28"/>
          <w:lang w:eastAsia="ru-RU"/>
        </w:rPr>
      </w:pPr>
    </w:p>
    <w:p w:rsidR="002309AF" w:rsidRPr="002309AF" w:rsidRDefault="002309AF" w:rsidP="002309AF">
      <w:pPr>
        <w:spacing w:line="240" w:lineRule="auto"/>
        <w:jc w:val="left"/>
        <w:rPr>
          <w:rFonts w:eastAsia="Times New Roman" w:cs="Times New Roman"/>
          <w:szCs w:val="28"/>
          <w:lang w:eastAsia="ru-RU"/>
        </w:rPr>
      </w:pPr>
    </w:p>
    <w:p w:rsidR="002309AF" w:rsidRPr="002309AF" w:rsidRDefault="002309AF" w:rsidP="002309AF">
      <w:pPr>
        <w:spacing w:line="240" w:lineRule="auto"/>
        <w:jc w:val="left"/>
        <w:rPr>
          <w:rFonts w:eastAsia="Times New Roman" w:cs="Times New Roman"/>
          <w:szCs w:val="28"/>
          <w:lang w:eastAsia="ru-RU"/>
        </w:rPr>
      </w:pPr>
    </w:p>
    <w:p w:rsidR="002309AF" w:rsidRPr="002309AF" w:rsidRDefault="002309AF" w:rsidP="002309AF">
      <w:pPr>
        <w:spacing w:line="240" w:lineRule="auto"/>
        <w:jc w:val="left"/>
        <w:rPr>
          <w:rFonts w:eastAsia="Times New Roman" w:cs="Times New Roman"/>
          <w:szCs w:val="28"/>
          <w:lang w:eastAsia="ru-RU"/>
        </w:rPr>
      </w:pPr>
      <w:r w:rsidRPr="002309AF">
        <w:rPr>
          <w:rFonts w:eastAsia="Times New Roman" w:cs="Times New Roman"/>
          <w:szCs w:val="28"/>
          <w:lang w:eastAsia="ru-RU"/>
        </w:rPr>
        <w:t>ПОГОДЖЕНО:</w:t>
      </w:r>
    </w:p>
    <w:p w:rsidR="002309AF" w:rsidRPr="002309AF" w:rsidRDefault="002309AF" w:rsidP="002309AF">
      <w:pPr>
        <w:spacing w:line="240" w:lineRule="auto"/>
        <w:jc w:val="left"/>
        <w:rPr>
          <w:rFonts w:eastAsia="Times New Roman" w:cs="Times New Roman"/>
          <w:szCs w:val="28"/>
          <w:lang w:eastAsia="ru-RU"/>
        </w:rPr>
      </w:pPr>
    </w:p>
    <w:p w:rsidR="002309AF" w:rsidRPr="002309AF" w:rsidRDefault="002309AF" w:rsidP="002309AF">
      <w:pPr>
        <w:spacing w:line="240" w:lineRule="auto"/>
        <w:jc w:val="left"/>
        <w:rPr>
          <w:rFonts w:eastAsia="Times New Roman" w:cs="Times New Roman"/>
          <w:szCs w:val="28"/>
          <w:lang w:eastAsia="ru-RU"/>
        </w:rPr>
      </w:pPr>
      <w:r w:rsidRPr="002309AF">
        <w:rPr>
          <w:rFonts w:eastAsia="Times New Roman" w:cs="Times New Roman"/>
          <w:szCs w:val="28"/>
          <w:lang w:eastAsia="ru-RU"/>
        </w:rPr>
        <w:t>Начальник відділу стратегії та</w:t>
      </w:r>
    </w:p>
    <w:p w:rsidR="002309AF" w:rsidRPr="002309AF" w:rsidRDefault="002309AF" w:rsidP="002309AF">
      <w:pPr>
        <w:spacing w:line="240" w:lineRule="auto"/>
        <w:jc w:val="left"/>
        <w:rPr>
          <w:rFonts w:eastAsia="Times New Roman" w:cs="Times New Roman"/>
          <w:szCs w:val="28"/>
          <w:lang w:eastAsia="ru-RU"/>
        </w:rPr>
      </w:pPr>
      <w:r w:rsidRPr="002309AF">
        <w:rPr>
          <w:rFonts w:eastAsia="Times New Roman" w:cs="Times New Roman"/>
          <w:szCs w:val="28"/>
          <w:lang w:eastAsia="ru-RU"/>
        </w:rPr>
        <w:t>нормативно-методологічного</w:t>
      </w:r>
    </w:p>
    <w:p w:rsidR="002309AF" w:rsidRPr="002309AF" w:rsidRDefault="002309AF" w:rsidP="002309AF">
      <w:pPr>
        <w:spacing w:line="240" w:lineRule="auto"/>
        <w:jc w:val="left"/>
        <w:rPr>
          <w:rFonts w:eastAsia="Times New Roman" w:cs="Times New Roman"/>
          <w:szCs w:val="28"/>
          <w:lang w:eastAsia="ru-RU"/>
        </w:rPr>
      </w:pPr>
      <w:r w:rsidRPr="002309AF">
        <w:rPr>
          <w:rFonts w:eastAsia="Times New Roman" w:cs="Times New Roman"/>
          <w:szCs w:val="28"/>
          <w:lang w:eastAsia="ru-RU"/>
        </w:rPr>
        <w:t>забезпечення</w:t>
      </w:r>
      <w:r w:rsidRPr="002309AF">
        <w:rPr>
          <w:rFonts w:eastAsia="Times New Roman" w:cs="Times New Roman"/>
          <w:szCs w:val="28"/>
          <w:lang w:eastAsia="ru-RU"/>
        </w:rPr>
        <w:tab/>
      </w:r>
      <w:r w:rsidRPr="002309AF">
        <w:rPr>
          <w:rFonts w:eastAsia="Times New Roman" w:cs="Times New Roman"/>
          <w:szCs w:val="28"/>
          <w:lang w:eastAsia="ru-RU"/>
        </w:rPr>
        <w:tab/>
      </w:r>
      <w:r w:rsidRPr="002309AF">
        <w:rPr>
          <w:rFonts w:eastAsia="Times New Roman" w:cs="Times New Roman"/>
          <w:szCs w:val="28"/>
          <w:lang w:eastAsia="ru-RU"/>
        </w:rPr>
        <w:tab/>
      </w:r>
      <w:r w:rsidRPr="002309AF">
        <w:rPr>
          <w:rFonts w:eastAsia="Times New Roman" w:cs="Times New Roman"/>
          <w:szCs w:val="28"/>
          <w:lang w:eastAsia="ru-RU"/>
        </w:rPr>
        <w:tab/>
      </w:r>
      <w:r w:rsidRPr="002309AF">
        <w:rPr>
          <w:rFonts w:eastAsia="Times New Roman" w:cs="Times New Roman"/>
          <w:szCs w:val="28"/>
          <w:lang w:eastAsia="ru-RU"/>
        </w:rPr>
        <w:tab/>
        <w:t>_______________ (Н.О. Лапаєва)</w:t>
      </w:r>
    </w:p>
    <w:p w:rsidR="002309AF" w:rsidRPr="002309AF" w:rsidRDefault="002309AF" w:rsidP="002309AF">
      <w:pPr>
        <w:spacing w:line="240" w:lineRule="auto"/>
        <w:jc w:val="left"/>
        <w:rPr>
          <w:rFonts w:eastAsia="Times New Roman" w:cs="Times New Roman"/>
          <w:szCs w:val="28"/>
          <w:lang w:eastAsia="ru-RU"/>
        </w:rPr>
      </w:pPr>
    </w:p>
    <w:p w:rsidR="002309AF" w:rsidRPr="002309AF" w:rsidRDefault="002309AF" w:rsidP="002309AF">
      <w:pPr>
        <w:spacing w:line="240" w:lineRule="auto"/>
        <w:jc w:val="left"/>
        <w:rPr>
          <w:rFonts w:eastAsia="Times New Roman" w:cs="Times New Roman"/>
          <w:szCs w:val="28"/>
          <w:lang w:eastAsia="ru-RU"/>
        </w:rPr>
      </w:pPr>
    </w:p>
    <w:p w:rsidR="002309AF" w:rsidRPr="002309AF" w:rsidRDefault="002309AF" w:rsidP="002309AF">
      <w:pPr>
        <w:spacing w:line="240" w:lineRule="auto"/>
        <w:jc w:val="left"/>
        <w:rPr>
          <w:rFonts w:eastAsia="Times New Roman" w:cs="Times New Roman"/>
          <w:szCs w:val="28"/>
          <w:lang w:eastAsia="ru-RU"/>
        </w:rPr>
      </w:pPr>
      <w:proofErr w:type="spellStart"/>
      <w:r w:rsidRPr="002309AF">
        <w:rPr>
          <w:rFonts w:eastAsia="Times New Roman" w:cs="Times New Roman"/>
          <w:szCs w:val="28"/>
          <w:lang w:eastAsia="ru-RU"/>
        </w:rPr>
        <w:t>Т.в.о</w:t>
      </w:r>
      <w:proofErr w:type="spellEnd"/>
      <w:r w:rsidRPr="002309AF">
        <w:rPr>
          <w:rFonts w:eastAsia="Times New Roman" w:cs="Times New Roman"/>
          <w:szCs w:val="28"/>
          <w:lang w:eastAsia="ru-RU"/>
        </w:rPr>
        <w:t>. директора департаменту</w:t>
      </w:r>
    </w:p>
    <w:p w:rsidR="002309AF" w:rsidRPr="002309AF" w:rsidRDefault="002309AF" w:rsidP="002309AF">
      <w:pPr>
        <w:spacing w:line="240" w:lineRule="auto"/>
        <w:jc w:val="left"/>
        <w:rPr>
          <w:rFonts w:eastAsia="Times New Roman" w:cs="Times New Roman"/>
          <w:szCs w:val="28"/>
          <w:lang w:eastAsia="ru-RU"/>
        </w:rPr>
      </w:pPr>
      <w:r w:rsidRPr="002309AF">
        <w:rPr>
          <w:rFonts w:eastAsia="Times New Roman" w:cs="Times New Roman"/>
          <w:szCs w:val="28"/>
          <w:lang w:eastAsia="ru-RU"/>
        </w:rPr>
        <w:t>консолідованого продажу</w:t>
      </w:r>
    </w:p>
    <w:p w:rsidR="002309AF" w:rsidRPr="002309AF" w:rsidRDefault="002309AF" w:rsidP="002309AF">
      <w:pPr>
        <w:spacing w:line="240" w:lineRule="auto"/>
        <w:jc w:val="left"/>
        <w:rPr>
          <w:rFonts w:eastAsia="Times New Roman" w:cs="Times New Roman"/>
          <w:szCs w:val="28"/>
          <w:lang w:eastAsia="ru-RU"/>
        </w:rPr>
      </w:pPr>
      <w:r w:rsidRPr="002309AF">
        <w:rPr>
          <w:rFonts w:eastAsia="Times New Roman" w:cs="Times New Roman"/>
          <w:szCs w:val="28"/>
          <w:lang w:eastAsia="ru-RU"/>
        </w:rPr>
        <w:t>активів</w:t>
      </w:r>
      <w:r w:rsidRPr="002309AF">
        <w:rPr>
          <w:rFonts w:eastAsia="Times New Roman" w:cs="Times New Roman"/>
          <w:szCs w:val="28"/>
          <w:lang w:eastAsia="ru-RU"/>
        </w:rPr>
        <w:tab/>
      </w:r>
      <w:r w:rsidRPr="002309AF">
        <w:rPr>
          <w:rFonts w:eastAsia="Times New Roman" w:cs="Times New Roman"/>
          <w:szCs w:val="28"/>
          <w:lang w:eastAsia="ru-RU"/>
        </w:rPr>
        <w:tab/>
      </w:r>
      <w:r w:rsidRPr="002309AF">
        <w:rPr>
          <w:rFonts w:eastAsia="Times New Roman" w:cs="Times New Roman"/>
          <w:szCs w:val="28"/>
          <w:lang w:eastAsia="ru-RU"/>
        </w:rPr>
        <w:tab/>
      </w:r>
      <w:r w:rsidRPr="002309AF">
        <w:rPr>
          <w:rFonts w:eastAsia="Times New Roman" w:cs="Times New Roman"/>
          <w:szCs w:val="28"/>
          <w:lang w:eastAsia="ru-RU"/>
        </w:rPr>
        <w:tab/>
      </w:r>
      <w:r w:rsidRPr="002309AF">
        <w:rPr>
          <w:rFonts w:eastAsia="Times New Roman" w:cs="Times New Roman"/>
          <w:szCs w:val="28"/>
          <w:lang w:eastAsia="ru-RU"/>
        </w:rPr>
        <w:tab/>
      </w:r>
      <w:r w:rsidRPr="002309AF">
        <w:rPr>
          <w:rFonts w:eastAsia="Times New Roman" w:cs="Times New Roman"/>
          <w:szCs w:val="28"/>
          <w:lang w:eastAsia="ru-RU"/>
        </w:rPr>
        <w:tab/>
        <w:t>________________ (Т.Я. Єлейко)</w:t>
      </w:r>
    </w:p>
    <w:p w:rsidR="002309AF" w:rsidRPr="002309AF" w:rsidRDefault="002309AF" w:rsidP="002309AF">
      <w:pPr>
        <w:spacing w:line="240" w:lineRule="auto"/>
        <w:jc w:val="left"/>
        <w:rPr>
          <w:rFonts w:eastAsia="Times New Roman" w:cs="Times New Roman"/>
          <w:szCs w:val="28"/>
          <w:lang w:eastAsia="ru-RU"/>
        </w:rPr>
      </w:pPr>
    </w:p>
    <w:p w:rsidR="002309AF" w:rsidRPr="002309AF" w:rsidRDefault="002309AF" w:rsidP="002309AF">
      <w:pPr>
        <w:spacing w:line="240" w:lineRule="auto"/>
        <w:jc w:val="left"/>
        <w:rPr>
          <w:rFonts w:eastAsia="Times New Roman" w:cs="Times New Roman"/>
          <w:szCs w:val="28"/>
          <w:lang w:eastAsia="ru-RU"/>
        </w:rPr>
      </w:pPr>
    </w:p>
    <w:p w:rsidR="002309AF" w:rsidRPr="002309AF" w:rsidRDefault="002309AF" w:rsidP="002309AF">
      <w:pPr>
        <w:spacing w:line="240" w:lineRule="auto"/>
        <w:jc w:val="left"/>
        <w:rPr>
          <w:rFonts w:eastAsia="Times New Roman" w:cs="Times New Roman"/>
          <w:szCs w:val="28"/>
          <w:lang w:eastAsia="ru-RU"/>
        </w:rPr>
      </w:pPr>
      <w:r w:rsidRPr="002309AF">
        <w:rPr>
          <w:rFonts w:eastAsia="Times New Roman" w:cs="Times New Roman"/>
          <w:szCs w:val="28"/>
          <w:lang w:eastAsia="ru-RU"/>
        </w:rPr>
        <w:t>Заступник директора юридичного</w:t>
      </w:r>
    </w:p>
    <w:p w:rsidR="002309AF" w:rsidRPr="002309AF" w:rsidRDefault="002309AF" w:rsidP="002309AF">
      <w:pPr>
        <w:spacing w:line="240" w:lineRule="auto"/>
        <w:jc w:val="left"/>
        <w:rPr>
          <w:rFonts w:eastAsia="Times New Roman" w:cs="Times New Roman"/>
          <w:szCs w:val="28"/>
          <w:lang w:eastAsia="ru-RU"/>
        </w:rPr>
      </w:pPr>
      <w:r w:rsidRPr="002309AF">
        <w:rPr>
          <w:rFonts w:eastAsia="Times New Roman" w:cs="Times New Roman"/>
          <w:szCs w:val="28"/>
          <w:lang w:eastAsia="ru-RU"/>
        </w:rPr>
        <w:t>департаменту</w:t>
      </w:r>
      <w:r w:rsidRPr="002309AF">
        <w:rPr>
          <w:rFonts w:eastAsia="Times New Roman" w:cs="Times New Roman"/>
          <w:szCs w:val="28"/>
          <w:lang w:eastAsia="ru-RU"/>
        </w:rPr>
        <w:tab/>
      </w:r>
      <w:r w:rsidRPr="002309AF">
        <w:rPr>
          <w:rFonts w:eastAsia="Times New Roman" w:cs="Times New Roman"/>
          <w:szCs w:val="28"/>
          <w:lang w:eastAsia="ru-RU"/>
        </w:rPr>
        <w:tab/>
      </w:r>
      <w:r w:rsidRPr="002309AF">
        <w:rPr>
          <w:rFonts w:eastAsia="Times New Roman" w:cs="Times New Roman"/>
          <w:szCs w:val="28"/>
          <w:lang w:eastAsia="ru-RU"/>
        </w:rPr>
        <w:tab/>
      </w:r>
      <w:r w:rsidRPr="002309AF">
        <w:rPr>
          <w:rFonts w:eastAsia="Times New Roman" w:cs="Times New Roman"/>
          <w:szCs w:val="28"/>
          <w:lang w:eastAsia="ru-RU"/>
        </w:rPr>
        <w:tab/>
      </w:r>
      <w:r w:rsidRPr="002309AF">
        <w:rPr>
          <w:rFonts w:eastAsia="Times New Roman" w:cs="Times New Roman"/>
          <w:szCs w:val="28"/>
          <w:lang w:eastAsia="ru-RU"/>
        </w:rPr>
        <w:tab/>
        <w:t>_______________ (О.П. Плотніченко)</w:t>
      </w:r>
    </w:p>
    <w:p w:rsidR="002309AF" w:rsidRPr="002309AF" w:rsidRDefault="002309AF" w:rsidP="002309AF">
      <w:pPr>
        <w:spacing w:line="240" w:lineRule="auto"/>
        <w:jc w:val="left"/>
        <w:rPr>
          <w:rFonts w:eastAsia="Times New Roman" w:cs="Times New Roman"/>
          <w:szCs w:val="28"/>
          <w:lang w:eastAsia="ru-RU"/>
        </w:rPr>
      </w:pPr>
    </w:p>
    <w:p w:rsidR="002309AF" w:rsidRPr="002309AF" w:rsidRDefault="002309AF" w:rsidP="002309AF">
      <w:pPr>
        <w:spacing w:line="240" w:lineRule="auto"/>
        <w:jc w:val="left"/>
        <w:rPr>
          <w:rFonts w:eastAsia="Times New Roman" w:cs="Times New Roman"/>
          <w:szCs w:val="28"/>
          <w:lang w:eastAsia="ru-RU"/>
        </w:rPr>
        <w:sectPr w:rsidR="002309AF" w:rsidRPr="002309AF" w:rsidSect="00C06E31">
          <w:headerReference w:type="default" r:id="rId11"/>
          <w:pgSz w:w="11906" w:h="16838"/>
          <w:pgMar w:top="850" w:right="850" w:bottom="709" w:left="1417" w:header="708" w:footer="708" w:gutter="0"/>
          <w:cols w:space="708"/>
          <w:titlePg/>
          <w:docGrid w:linePitch="360"/>
        </w:sectPr>
      </w:pPr>
    </w:p>
    <w:p w:rsidR="002309AF" w:rsidRDefault="002309AF"/>
    <w:p w:rsidR="008C0173" w:rsidRDefault="008C0173" w:rsidP="006F3CFB">
      <w:pPr>
        <w:spacing w:line="360" w:lineRule="auto"/>
        <w:ind w:left="4820"/>
        <w:jc w:val="both"/>
      </w:pPr>
      <w:r>
        <w:t xml:space="preserve">ЗАТВЕРДЖЕНО </w:t>
      </w:r>
    </w:p>
    <w:p w:rsidR="008C0173" w:rsidRDefault="006F3CFB" w:rsidP="006F3CFB">
      <w:pPr>
        <w:spacing w:line="360" w:lineRule="auto"/>
        <w:ind w:left="4820"/>
        <w:jc w:val="both"/>
      </w:pPr>
      <w:r>
        <w:t>Р</w:t>
      </w:r>
      <w:r w:rsidR="008C0173">
        <w:t xml:space="preserve">ішення виконавчої дирекції Фонду гарантування вкладів фізичних осіб </w:t>
      </w:r>
    </w:p>
    <w:p w:rsidR="001A4463" w:rsidRDefault="006F3CFB" w:rsidP="006F3CFB">
      <w:pPr>
        <w:spacing w:line="360" w:lineRule="auto"/>
        <w:ind w:left="4820"/>
        <w:jc w:val="both"/>
      </w:pPr>
      <w:r>
        <w:t>30</w:t>
      </w:r>
      <w:r w:rsidR="008C0173">
        <w:t xml:space="preserve"> </w:t>
      </w:r>
      <w:r>
        <w:t>червня</w:t>
      </w:r>
      <w:r w:rsidR="008C0173">
        <w:t xml:space="preserve"> 2017 року № </w:t>
      </w:r>
      <w:r>
        <w:t>2783</w:t>
      </w:r>
    </w:p>
    <w:p w:rsidR="00EA1F27" w:rsidRDefault="00EA1F27" w:rsidP="00EA1F27">
      <w:pPr>
        <w:spacing w:line="360" w:lineRule="auto"/>
        <w:jc w:val="both"/>
      </w:pPr>
    </w:p>
    <w:p w:rsidR="00EA1F27" w:rsidRDefault="00EA1F27" w:rsidP="00EA1F27">
      <w:pPr>
        <w:spacing w:line="360" w:lineRule="auto"/>
        <w:jc w:val="both"/>
      </w:pPr>
    </w:p>
    <w:p w:rsidR="006A305C" w:rsidRDefault="006A305C" w:rsidP="006A305C">
      <w:pPr>
        <w:jc w:val="right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Зареєстровано в Міністерстві юстиції України </w:t>
      </w:r>
    </w:p>
    <w:p w:rsidR="006A305C" w:rsidRDefault="006A305C" w:rsidP="006A305C">
      <w:pPr>
        <w:ind w:left="3540" w:firstLine="708"/>
        <w:jc w:val="right"/>
        <w:rPr>
          <w:rFonts w:eastAsia="Times New Roman"/>
          <w:szCs w:val="28"/>
          <w:lang w:eastAsia="ru-RU"/>
        </w:rPr>
      </w:pPr>
      <w:r w:rsidRPr="006A305C">
        <w:rPr>
          <w:rFonts w:eastAsia="Times New Roman"/>
          <w:szCs w:val="28"/>
          <w:lang w:val="ru-RU" w:eastAsia="ru-RU"/>
        </w:rPr>
        <w:t xml:space="preserve">27липня </w:t>
      </w:r>
      <w:r>
        <w:rPr>
          <w:rFonts w:eastAsia="Times New Roman"/>
          <w:szCs w:val="28"/>
          <w:lang w:eastAsia="ru-RU"/>
        </w:rPr>
        <w:t>2017 року за № 915/30783</w:t>
      </w:r>
    </w:p>
    <w:p w:rsidR="00EA1F27" w:rsidRDefault="00EA1F27" w:rsidP="00EA1F27">
      <w:pPr>
        <w:spacing w:line="360" w:lineRule="auto"/>
        <w:jc w:val="both"/>
      </w:pPr>
    </w:p>
    <w:p w:rsidR="00EA1F27" w:rsidRDefault="00EA1F27" w:rsidP="00EA1F27">
      <w:pPr>
        <w:spacing w:line="360" w:lineRule="auto"/>
        <w:jc w:val="both"/>
      </w:pPr>
    </w:p>
    <w:p w:rsidR="00EA1F27" w:rsidRDefault="00EA1F27" w:rsidP="00EA1F27">
      <w:pPr>
        <w:spacing w:line="360" w:lineRule="auto"/>
        <w:jc w:val="both"/>
      </w:pPr>
    </w:p>
    <w:p w:rsidR="00EA1F27" w:rsidRDefault="00EA1F27" w:rsidP="00EA1F27">
      <w:pPr>
        <w:spacing w:line="360" w:lineRule="auto"/>
        <w:jc w:val="both"/>
      </w:pPr>
    </w:p>
    <w:p w:rsidR="00EA1F27" w:rsidRPr="006A305C" w:rsidRDefault="00EA1F27" w:rsidP="00EA1F27">
      <w:pPr>
        <w:spacing w:line="360" w:lineRule="auto"/>
        <w:jc w:val="both"/>
        <w:rPr>
          <w:lang w:val="ru-RU"/>
        </w:rPr>
      </w:pPr>
    </w:p>
    <w:p w:rsidR="006A305C" w:rsidRPr="006A305C" w:rsidRDefault="006A305C" w:rsidP="00EA1F27">
      <w:pPr>
        <w:spacing w:line="360" w:lineRule="auto"/>
        <w:jc w:val="both"/>
        <w:rPr>
          <w:lang w:val="ru-RU"/>
        </w:rPr>
      </w:pPr>
    </w:p>
    <w:p w:rsidR="008C0173" w:rsidRDefault="008C0173" w:rsidP="008C0173">
      <w:pPr>
        <w:spacing w:line="360" w:lineRule="auto"/>
        <w:ind w:left="4820"/>
      </w:pPr>
    </w:p>
    <w:p w:rsidR="008C0173" w:rsidRPr="008C0173" w:rsidRDefault="008C0173" w:rsidP="008C0173">
      <w:pPr>
        <w:spacing w:line="360" w:lineRule="auto"/>
        <w:rPr>
          <w:b/>
        </w:rPr>
      </w:pPr>
      <w:r w:rsidRPr="008C0173">
        <w:rPr>
          <w:b/>
        </w:rPr>
        <w:t xml:space="preserve">ПОЛОЖЕННЯ </w:t>
      </w:r>
    </w:p>
    <w:p w:rsidR="008C0173" w:rsidRPr="008C0173" w:rsidRDefault="008C0173" w:rsidP="008C0173">
      <w:pPr>
        <w:spacing w:line="360" w:lineRule="auto"/>
        <w:rPr>
          <w:b/>
        </w:rPr>
      </w:pPr>
      <w:r w:rsidRPr="008C0173">
        <w:rPr>
          <w:b/>
        </w:rPr>
        <w:t>про пілотний проект щодо реалізації активів (майна) банків, що ліквідуються</w:t>
      </w:r>
    </w:p>
    <w:p w:rsidR="008C0173" w:rsidRDefault="008C0173" w:rsidP="008C0173">
      <w:pPr>
        <w:spacing w:line="360" w:lineRule="auto"/>
      </w:pPr>
    </w:p>
    <w:p w:rsidR="008C0173" w:rsidRDefault="00345508" w:rsidP="008C0173">
      <w:pPr>
        <w:spacing w:line="360" w:lineRule="auto"/>
        <w:jc w:val="both"/>
      </w:pPr>
      <w:r>
        <w:tab/>
        <w:t xml:space="preserve">1. </w:t>
      </w:r>
      <w:r w:rsidR="00EA1F27">
        <w:t>У</w:t>
      </w:r>
      <w:r w:rsidR="008C0173">
        <w:t xml:space="preserve"> рамках пілотного проекту </w:t>
      </w:r>
      <w:r w:rsidR="008C0173" w:rsidRPr="008C0173">
        <w:t>щодо реалізації активів (майна) банків, що ліквідуються</w:t>
      </w:r>
      <w:r w:rsidR="008C0173">
        <w:t xml:space="preserve"> (далі – Пілотний проект), здійснюється реалізація </w:t>
      </w:r>
      <w:r w:rsidR="00BA275B">
        <w:t xml:space="preserve">фінансових </w:t>
      </w:r>
      <w:r w:rsidR="00D0775B">
        <w:t>активів та іншої дебіторської заборгованості,</w:t>
      </w:r>
      <w:r w:rsidR="00BA275B" w:rsidRPr="0068135D">
        <w:t xml:space="preserve"> об’єктів нерухомості</w:t>
      </w:r>
      <w:r w:rsidR="00E927CF">
        <w:t>, земельних ділянок</w:t>
      </w:r>
      <w:r w:rsidR="00BA275B" w:rsidRPr="0068135D">
        <w:t xml:space="preserve"> та </w:t>
      </w:r>
      <w:r w:rsidR="00C0298D" w:rsidRPr="0068135D">
        <w:t>авто</w:t>
      </w:r>
      <w:r w:rsidR="00BA275B" w:rsidRPr="0068135D">
        <w:t>транспортних засобів</w:t>
      </w:r>
      <w:r w:rsidR="008C0173" w:rsidRPr="0068135D">
        <w:t xml:space="preserve"> банків</w:t>
      </w:r>
      <w:r w:rsidR="003C2AA6" w:rsidRPr="0068135D">
        <w:t>, крім</w:t>
      </w:r>
      <w:r w:rsidR="007B3D40" w:rsidRPr="0068135D">
        <w:t>:</w:t>
      </w:r>
    </w:p>
    <w:p w:rsidR="00C0298D" w:rsidRDefault="00BA275B" w:rsidP="008C0173">
      <w:pPr>
        <w:spacing w:line="360" w:lineRule="auto"/>
        <w:jc w:val="both"/>
      </w:pPr>
      <w:r>
        <w:tab/>
      </w:r>
      <w:r w:rsidR="00775F5E">
        <w:t>пулів</w:t>
      </w:r>
      <w:r>
        <w:t>, що складаються з</w:t>
      </w:r>
      <w:r w:rsidR="00FC6E3C">
        <w:t xml:space="preserve"> прав вимоги за </w:t>
      </w:r>
      <w:r>
        <w:t>п’ятдесят</w:t>
      </w:r>
      <w:r w:rsidR="00387FB7">
        <w:t>ьма</w:t>
      </w:r>
      <w:r>
        <w:t xml:space="preserve"> або більше кредит</w:t>
      </w:r>
      <w:r w:rsidR="00387FB7">
        <w:t>ами,</w:t>
      </w:r>
      <w:r>
        <w:t xml:space="preserve"> надани</w:t>
      </w:r>
      <w:r w:rsidR="00FC6E3C">
        <w:t>х</w:t>
      </w:r>
      <w:r>
        <w:t xml:space="preserve"> фізичним особам</w:t>
      </w:r>
      <w:r w:rsidR="00C0298D">
        <w:t>, заборгованість за кожним з яких не перевищує 250 тисяч гривень і виконання зобов’язань за якими не забезпечене іпотекою або заставою автотранспортного засобу;</w:t>
      </w:r>
    </w:p>
    <w:p w:rsidR="00D0775B" w:rsidRDefault="00D0775B" w:rsidP="008C0173">
      <w:pPr>
        <w:spacing w:line="360" w:lineRule="auto"/>
        <w:jc w:val="both"/>
      </w:pPr>
      <w:r>
        <w:tab/>
        <w:t>активів (майна) банків, що ліквідуються, які є предметом застави за вимогами третіх осіб.</w:t>
      </w:r>
    </w:p>
    <w:p w:rsidR="00345508" w:rsidRDefault="00345508" w:rsidP="00345508">
      <w:pPr>
        <w:spacing w:line="360" w:lineRule="auto"/>
        <w:ind w:firstLine="708"/>
        <w:jc w:val="both"/>
      </w:pPr>
    </w:p>
    <w:p w:rsidR="00345508" w:rsidRDefault="00345508" w:rsidP="00345508">
      <w:pPr>
        <w:spacing w:line="360" w:lineRule="auto"/>
        <w:ind w:firstLine="708"/>
        <w:jc w:val="both"/>
      </w:pPr>
      <w:r>
        <w:lastRenderedPageBreak/>
        <w:t xml:space="preserve">2. Реалізація активів (майна) у рамках Пілотного проекту здійснюється відповідно до </w:t>
      </w:r>
      <w:r w:rsidRPr="00345508">
        <w:t xml:space="preserve">Положення щодо організації продажу активів (майна) банків, що ліквідуються, затвердженого рішенням виконавчої дирекції </w:t>
      </w:r>
      <w:r>
        <w:t>Фонду гарантування вкладів фізичних осіб від 24 березня 2016 року №</w:t>
      </w:r>
      <w:r w:rsidRPr="00345508">
        <w:t xml:space="preserve"> 388, зареєстрованого в Міністерстві юстиції </w:t>
      </w:r>
      <w:r>
        <w:t xml:space="preserve">України 20 квітня 2016 року за </w:t>
      </w:r>
      <w:r w:rsidR="009149D6">
        <w:t xml:space="preserve">                 </w:t>
      </w:r>
      <w:r>
        <w:t>№</w:t>
      </w:r>
      <w:r w:rsidR="003B7151">
        <w:t xml:space="preserve"> 606/28736</w:t>
      </w:r>
      <w:r w:rsidR="00775F5E">
        <w:t xml:space="preserve"> (у редакції рішення виконавчої дирекції Фонду гарантування вкладів фізичних осіб від </w:t>
      </w:r>
      <w:r w:rsidR="00B33768">
        <w:t>05 травня 201</w:t>
      </w:r>
      <w:r w:rsidR="00F72A7D">
        <w:t xml:space="preserve">7 року </w:t>
      </w:r>
      <w:r w:rsidR="00775F5E">
        <w:t>№</w:t>
      </w:r>
      <w:r w:rsidR="00F72A7D">
        <w:t xml:space="preserve"> 1872</w:t>
      </w:r>
      <w:r w:rsidR="00775F5E">
        <w:t>)</w:t>
      </w:r>
      <w:r w:rsidR="003B7151">
        <w:t>, з урахуванням</w:t>
      </w:r>
      <w:r w:rsidR="009149D6">
        <w:t xml:space="preserve"> </w:t>
      </w:r>
      <w:r w:rsidR="00751E8D">
        <w:t xml:space="preserve">таких </w:t>
      </w:r>
      <w:r w:rsidRPr="00345508">
        <w:t>особливостей</w:t>
      </w:r>
      <w:r w:rsidR="003B7151">
        <w:t>:</w:t>
      </w:r>
    </w:p>
    <w:p w:rsidR="00ED008A" w:rsidRDefault="00ED008A" w:rsidP="00345508">
      <w:pPr>
        <w:spacing w:line="360" w:lineRule="auto"/>
        <w:ind w:firstLine="708"/>
        <w:jc w:val="both"/>
      </w:pPr>
    </w:p>
    <w:p w:rsidR="00ED008A" w:rsidRDefault="00ED008A" w:rsidP="00ED008A">
      <w:pPr>
        <w:spacing w:line="360" w:lineRule="auto"/>
        <w:ind w:firstLine="708"/>
        <w:jc w:val="both"/>
      </w:pPr>
      <w:r>
        <w:t xml:space="preserve">1) період між датою оприлюднення на </w:t>
      </w:r>
      <w:proofErr w:type="spellStart"/>
      <w:r>
        <w:t>веб-сайті</w:t>
      </w:r>
      <w:proofErr w:type="spellEnd"/>
      <w:r>
        <w:t xml:space="preserve"> банку, що ліквідується, та офіційному </w:t>
      </w:r>
      <w:proofErr w:type="spellStart"/>
      <w:r>
        <w:t>веб-сайті</w:t>
      </w:r>
      <w:proofErr w:type="spellEnd"/>
      <w:r>
        <w:t xml:space="preserve"> Фонду </w:t>
      </w:r>
      <w:r w:rsidR="00616C5A">
        <w:t xml:space="preserve">гарантування вкладів фізичних осіб (далі – Фонд) </w:t>
      </w:r>
      <w:r>
        <w:t>публічного паспорта активу (майна), паспорта відкритих торгів (аукціону) і датою проведення відкритих торгів (аукціону) становить:</w:t>
      </w:r>
    </w:p>
    <w:p w:rsidR="00ED008A" w:rsidRDefault="00ED008A" w:rsidP="00ED008A">
      <w:pPr>
        <w:spacing w:line="360" w:lineRule="auto"/>
        <w:ind w:firstLine="708"/>
        <w:jc w:val="both"/>
      </w:pPr>
      <w:r>
        <w:t xml:space="preserve">для перших відкритих торгів (аукціону) – </w:t>
      </w:r>
      <w:r w:rsidR="00D0775B">
        <w:t>від</w:t>
      </w:r>
      <w:r w:rsidR="009149D6">
        <w:t xml:space="preserve"> </w:t>
      </w:r>
      <w:r w:rsidR="00F72A7D">
        <w:t>7</w:t>
      </w:r>
      <w:r w:rsidR="000066AA" w:rsidRPr="000066AA">
        <w:rPr>
          <w:lang w:val="ru-RU"/>
        </w:rPr>
        <w:t xml:space="preserve"> </w:t>
      </w:r>
      <w:r w:rsidR="00D0775B">
        <w:t xml:space="preserve">до 14 </w:t>
      </w:r>
      <w:r>
        <w:t>робочих днів;</w:t>
      </w:r>
    </w:p>
    <w:p w:rsidR="00ED008A" w:rsidRDefault="00ED008A" w:rsidP="00ED008A">
      <w:pPr>
        <w:spacing w:line="360" w:lineRule="auto"/>
        <w:ind w:firstLine="708"/>
        <w:jc w:val="both"/>
      </w:pPr>
      <w:r>
        <w:t xml:space="preserve">для повторних відкритих торгів (аукціону) – </w:t>
      </w:r>
      <w:r w:rsidR="00D0775B">
        <w:t>від</w:t>
      </w:r>
      <w:r w:rsidR="009149D6">
        <w:t xml:space="preserve"> </w:t>
      </w:r>
      <w:r w:rsidR="00F72A7D">
        <w:t>3</w:t>
      </w:r>
      <w:r w:rsidR="000066AA" w:rsidRPr="000066AA">
        <w:rPr>
          <w:lang w:val="ru-RU"/>
        </w:rPr>
        <w:t xml:space="preserve"> </w:t>
      </w:r>
      <w:r w:rsidR="00D0775B">
        <w:t xml:space="preserve">до 7 </w:t>
      </w:r>
      <w:r>
        <w:t>робочих днів;</w:t>
      </w:r>
    </w:p>
    <w:p w:rsidR="00ED008A" w:rsidRDefault="00ED008A" w:rsidP="00ED008A">
      <w:pPr>
        <w:spacing w:line="360" w:lineRule="auto"/>
        <w:ind w:firstLine="708"/>
        <w:jc w:val="both"/>
      </w:pPr>
    </w:p>
    <w:p w:rsidR="00ED008A" w:rsidRDefault="00ED008A" w:rsidP="00ED008A">
      <w:pPr>
        <w:spacing w:line="360" w:lineRule="auto"/>
        <w:ind w:firstLine="708"/>
        <w:jc w:val="both"/>
      </w:pPr>
      <w:r>
        <w:t xml:space="preserve">2) повторні відкриті торги (аукціон) проводяться не пізніше </w:t>
      </w:r>
      <w:r w:rsidR="00D0775B">
        <w:t>7</w:t>
      </w:r>
      <w:r>
        <w:t xml:space="preserve"> робочих днів після дати завершення попередніх відкритих торгів (аукціону), які визнані такими, що не відбулися;</w:t>
      </w:r>
    </w:p>
    <w:p w:rsidR="00751E8D" w:rsidRDefault="00751E8D" w:rsidP="00ED008A">
      <w:pPr>
        <w:spacing w:line="360" w:lineRule="auto"/>
        <w:ind w:firstLine="708"/>
        <w:jc w:val="both"/>
      </w:pPr>
    </w:p>
    <w:p w:rsidR="00FA1FE6" w:rsidRDefault="00FA1FE6" w:rsidP="00FA1FE6">
      <w:pPr>
        <w:spacing w:line="360" w:lineRule="auto"/>
        <w:ind w:firstLine="708"/>
        <w:jc w:val="both"/>
      </w:pPr>
      <w:r>
        <w:t xml:space="preserve">3) укладений додатковий до договору про співпрацю з організації продажу активів (майна) договір про реалізацію активів (майна) між банком, що ліквідується, та організатором відкритих торгів (аукціонів) повинен містити положення щодо проведення повторних відкритих торгів (аукціонів) відповідно до </w:t>
      </w:r>
      <w:r w:rsidR="00BD45F4">
        <w:t xml:space="preserve">підпункту </w:t>
      </w:r>
      <w:r>
        <w:t xml:space="preserve">2 цього </w:t>
      </w:r>
      <w:r w:rsidR="00BD45F4">
        <w:t>пункту</w:t>
      </w:r>
      <w:r>
        <w:t xml:space="preserve"> у разі, якщо такі активи (майно) не були продані на попередніх відкритих торгах (аукціоні);</w:t>
      </w:r>
    </w:p>
    <w:p w:rsidR="00FA1FE6" w:rsidRDefault="00FA1FE6" w:rsidP="00ED008A">
      <w:pPr>
        <w:spacing w:line="360" w:lineRule="auto"/>
        <w:ind w:firstLine="708"/>
        <w:jc w:val="both"/>
      </w:pPr>
    </w:p>
    <w:p w:rsidR="00FA1FE6" w:rsidRDefault="00FA1FE6" w:rsidP="00FA1FE6">
      <w:pPr>
        <w:spacing w:line="360" w:lineRule="auto"/>
        <w:ind w:firstLine="708"/>
        <w:jc w:val="both"/>
      </w:pPr>
      <w:r>
        <w:t>4) у разі продажу а</w:t>
      </w:r>
      <w:r w:rsidRPr="00460C7D">
        <w:t>ктив</w:t>
      </w:r>
      <w:r>
        <w:t>ів (майна</w:t>
      </w:r>
      <w:r w:rsidRPr="00460C7D">
        <w:t>), умови продажу яких не затверджувалися виконавчою дирекцією Фонду до набрання чинності цим Положенням</w:t>
      </w:r>
      <w:r>
        <w:t>:</w:t>
      </w:r>
    </w:p>
    <w:p w:rsidR="00FA1FE6" w:rsidRDefault="00FA1FE6" w:rsidP="00FA1FE6">
      <w:pPr>
        <w:spacing w:line="360" w:lineRule="auto"/>
        <w:ind w:firstLine="708"/>
        <w:jc w:val="both"/>
      </w:pPr>
      <w:r>
        <w:lastRenderedPageBreak/>
        <w:t xml:space="preserve">початкова ціна, яка зазначається у пропозиції щодо реалізації активів (майна) банку та подається малим комітетом з управління активами банку (далі – МКУА) до Фонду, встановлюється на рівні вартості відповідних активів, що відображається на балансових та на позабалансових рахунках (для прав вимоги за кредитними договорами – на рівні заборгованості за такими договорами (заборгованість за основним боргом, нарахованими відсотками, а також передбаченими договором комісійними винагородами)) станом на перше число місяця, в якому затверджено відповідну </w:t>
      </w:r>
      <w:r w:rsidRPr="0062775F">
        <w:rPr>
          <w:color w:val="000000" w:themeColor="text1"/>
        </w:rPr>
        <w:t>пропозицію</w:t>
      </w:r>
      <w:r w:rsidR="0068135D" w:rsidRPr="0062775F">
        <w:rPr>
          <w:color w:val="000000" w:themeColor="text1"/>
          <w:lang w:val="ru-RU"/>
        </w:rPr>
        <w:t xml:space="preserve"> МКУА</w:t>
      </w:r>
      <w:r w:rsidRPr="0062775F">
        <w:rPr>
          <w:color w:val="000000" w:themeColor="text1"/>
        </w:rPr>
        <w:t>, але не нижче</w:t>
      </w:r>
      <w:r>
        <w:t xml:space="preserve"> оціночної вартості таких активів, визначеної незалежними суб’єктами оціночної діяльності;</w:t>
      </w:r>
    </w:p>
    <w:p w:rsidR="00FA1FE6" w:rsidRDefault="00FA1FE6" w:rsidP="00FA1FE6">
      <w:pPr>
        <w:spacing w:line="360" w:lineRule="auto"/>
        <w:ind w:firstLine="708"/>
        <w:jc w:val="both"/>
      </w:pPr>
      <w:r>
        <w:t>МКУА у складі пропозицій щодо реалізації активів (майна) банку подає до Фонду публічні паспорти активів (майна);</w:t>
      </w:r>
    </w:p>
    <w:p w:rsidR="00751E8D" w:rsidRPr="00E75BAA" w:rsidRDefault="00BD45F4" w:rsidP="00FA1FE6">
      <w:pPr>
        <w:spacing w:line="360" w:lineRule="auto"/>
        <w:ind w:firstLine="708"/>
        <w:jc w:val="both"/>
      </w:pPr>
      <w:r w:rsidRPr="00E75BAA">
        <w:t>б</w:t>
      </w:r>
      <w:r w:rsidR="00FA1FE6" w:rsidRPr="00E75BAA">
        <w:t>анк</w:t>
      </w:r>
      <w:r w:rsidRPr="00E75BAA">
        <w:t>, що ліквідується,</w:t>
      </w:r>
      <w:r w:rsidR="00FA1FE6" w:rsidRPr="00E75BAA">
        <w:t xml:space="preserve"> повторно </w:t>
      </w:r>
      <w:r w:rsidRPr="00E75BAA">
        <w:t xml:space="preserve">надає </w:t>
      </w:r>
      <w:r w:rsidR="00D0775B" w:rsidRPr="00E75BAA">
        <w:t>пропозиції щодо реалізації активів (майна)</w:t>
      </w:r>
      <w:r w:rsidR="00FA1FE6" w:rsidRPr="00E75BAA">
        <w:t>, які не були продані на відкритих торгах (аукціоні), із зменшенням їх початкової ціни, встановленої для проведення попередніх відкритих торгів (аукціону), на 10 відсотків</w:t>
      </w:r>
      <w:r w:rsidRPr="00E75BAA">
        <w:t xml:space="preserve"> на кожних наступни</w:t>
      </w:r>
      <w:r w:rsidR="009149D6">
        <w:t>х</w:t>
      </w:r>
      <w:r w:rsidRPr="00E75BAA">
        <w:t xml:space="preserve"> торгах</w:t>
      </w:r>
      <w:r w:rsidR="00FA1FE6" w:rsidRPr="00E75BAA">
        <w:t>, але сумарно не більше ніж на 70 відсотків від початкової ціни</w:t>
      </w:r>
      <w:r w:rsidR="00751E8D" w:rsidRPr="00E75BAA">
        <w:t>;</w:t>
      </w:r>
    </w:p>
    <w:p w:rsidR="00FA1FE6" w:rsidRPr="00E75BAA" w:rsidRDefault="00FA1FE6" w:rsidP="00FA1FE6">
      <w:pPr>
        <w:spacing w:line="360" w:lineRule="auto"/>
        <w:ind w:firstLine="708"/>
        <w:jc w:val="both"/>
      </w:pPr>
    </w:p>
    <w:p w:rsidR="00ED008A" w:rsidRDefault="00FA1FE6" w:rsidP="00ED008A">
      <w:pPr>
        <w:spacing w:line="360" w:lineRule="auto"/>
        <w:ind w:firstLine="708"/>
        <w:jc w:val="both"/>
      </w:pPr>
      <w:r w:rsidRPr="00E75BAA">
        <w:t xml:space="preserve">5) у разі продажу активів (майна), умови продажу яких затверджувалися виконавчою дирекцією Фонду до набрання чинності цим Положенням, банк, що ліквідується, повторно </w:t>
      </w:r>
      <w:r w:rsidR="00D0775B" w:rsidRPr="00E75BAA">
        <w:t>надає пропозиції щодо</w:t>
      </w:r>
      <w:r w:rsidR="00302701">
        <w:t xml:space="preserve"> </w:t>
      </w:r>
      <w:r w:rsidR="00D0775B" w:rsidRPr="00E75BAA">
        <w:t>реалізації активів (майна</w:t>
      </w:r>
      <w:r w:rsidRPr="00E75BAA">
        <w:t xml:space="preserve">), які не були продані відповідно до затверджених виконавчою дирекцією Фонду умов продажу, зі зниженням </w:t>
      </w:r>
      <w:r w:rsidR="007B432C" w:rsidRPr="00E75BAA">
        <w:t xml:space="preserve">їх </w:t>
      </w:r>
      <w:r w:rsidRPr="00E75BAA">
        <w:t>ціни реалізації, встановленої на останніх відкритих торгах (аукціоні), які визнані такими, що не відбулися, на 10 відсотків на кожних наступних торгах, але сумарно не більше ніж на 70</w:t>
      </w:r>
      <w:r w:rsidRPr="00FA1FE6">
        <w:t xml:space="preserve"> відсотків від </w:t>
      </w:r>
      <w:r w:rsidR="007B432C">
        <w:t xml:space="preserve">їх </w:t>
      </w:r>
      <w:r w:rsidRPr="00FA1FE6">
        <w:t>ціни реалізації, встановленої на останніх відкритих торгах (аукціоні), які визнані такими, що не відбулися</w:t>
      </w:r>
      <w:r w:rsidR="003B614C">
        <w:t>.</w:t>
      </w:r>
      <w:bookmarkStart w:id="8" w:name="_GoBack"/>
      <w:bookmarkEnd w:id="8"/>
    </w:p>
    <w:p w:rsidR="00E927CF" w:rsidRDefault="00E927CF" w:rsidP="00616C5A">
      <w:pPr>
        <w:spacing w:line="360" w:lineRule="auto"/>
        <w:ind w:firstLine="709"/>
        <w:jc w:val="both"/>
        <w:rPr>
          <w:rFonts w:cs="Times New Roman"/>
          <w:color w:val="000000" w:themeColor="text1"/>
          <w:szCs w:val="28"/>
        </w:rPr>
      </w:pPr>
    </w:p>
    <w:p w:rsidR="0054778F" w:rsidRPr="0054778F" w:rsidRDefault="0054778F" w:rsidP="00616C5A">
      <w:pPr>
        <w:spacing w:line="360" w:lineRule="auto"/>
        <w:ind w:firstLine="709"/>
        <w:jc w:val="both"/>
        <w:rPr>
          <w:rFonts w:cs="Times New Roman"/>
          <w:b/>
          <w:color w:val="000000" w:themeColor="text1"/>
          <w:szCs w:val="28"/>
        </w:rPr>
      </w:pPr>
      <w:proofErr w:type="spellStart"/>
      <w:r w:rsidRPr="0054778F">
        <w:rPr>
          <w:rFonts w:cs="Times New Roman"/>
          <w:b/>
          <w:color w:val="000000" w:themeColor="text1"/>
          <w:szCs w:val="28"/>
        </w:rPr>
        <w:t>Т.в.о</w:t>
      </w:r>
      <w:proofErr w:type="spellEnd"/>
      <w:r w:rsidRPr="0054778F">
        <w:rPr>
          <w:rFonts w:cs="Times New Roman"/>
          <w:b/>
          <w:color w:val="000000" w:themeColor="text1"/>
          <w:szCs w:val="28"/>
        </w:rPr>
        <w:t xml:space="preserve">. директора департаменту </w:t>
      </w:r>
    </w:p>
    <w:p w:rsidR="00ED008A" w:rsidRDefault="0054778F" w:rsidP="00E75BAA">
      <w:pPr>
        <w:spacing w:line="360" w:lineRule="auto"/>
        <w:ind w:firstLine="709"/>
        <w:jc w:val="both"/>
      </w:pPr>
      <w:r w:rsidRPr="0054778F">
        <w:rPr>
          <w:rFonts w:cs="Times New Roman"/>
          <w:b/>
          <w:color w:val="000000" w:themeColor="text1"/>
          <w:szCs w:val="28"/>
        </w:rPr>
        <w:t>консолідованого продажу активів                               Т. Я. Єлейко</w:t>
      </w:r>
    </w:p>
    <w:sectPr w:rsidR="00ED008A" w:rsidSect="0054778F">
      <w:headerReference w:type="default" r:id="rId12"/>
      <w:pgSz w:w="11906" w:h="16838"/>
      <w:pgMar w:top="850" w:right="850" w:bottom="850" w:left="1417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391D" w:rsidRDefault="00D1391D" w:rsidP="0054778F">
      <w:pPr>
        <w:spacing w:line="240" w:lineRule="auto"/>
      </w:pPr>
      <w:r>
        <w:separator/>
      </w:r>
    </w:p>
  </w:endnote>
  <w:endnote w:type="continuationSeparator" w:id="0">
    <w:p w:rsidR="00D1391D" w:rsidRDefault="00D1391D" w:rsidP="0054778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391D" w:rsidRDefault="00D1391D" w:rsidP="0054778F">
      <w:pPr>
        <w:spacing w:line="240" w:lineRule="auto"/>
      </w:pPr>
      <w:r>
        <w:separator/>
      </w:r>
    </w:p>
  </w:footnote>
  <w:footnote w:type="continuationSeparator" w:id="0">
    <w:p w:rsidR="00D1391D" w:rsidRDefault="00D1391D" w:rsidP="0054778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9AF" w:rsidRPr="003B0422" w:rsidRDefault="002309AF">
    <w:pPr>
      <w:pStyle w:val="ac"/>
      <w:rPr>
        <w:szCs w:val="28"/>
      </w:rPr>
    </w:pPr>
    <w:r w:rsidRPr="003B0422">
      <w:rPr>
        <w:szCs w:val="28"/>
      </w:rPr>
      <w:fldChar w:fldCharType="begin"/>
    </w:r>
    <w:r w:rsidRPr="003B0422">
      <w:rPr>
        <w:szCs w:val="28"/>
      </w:rPr>
      <w:instrText>PAGE   \* MERGEFORMAT</w:instrText>
    </w:r>
    <w:r w:rsidRPr="003B0422">
      <w:rPr>
        <w:szCs w:val="28"/>
      </w:rPr>
      <w:fldChar w:fldCharType="separate"/>
    </w:r>
    <w:r w:rsidR="00114869" w:rsidRPr="00114869">
      <w:rPr>
        <w:noProof/>
        <w:szCs w:val="28"/>
        <w:lang w:val="ru-RU"/>
      </w:rPr>
      <w:t>2</w:t>
    </w:r>
    <w:r w:rsidRPr="003B0422">
      <w:rPr>
        <w:szCs w:val="28"/>
      </w:rPr>
      <w:fldChar w:fldCharType="end"/>
    </w:r>
  </w:p>
  <w:p w:rsidR="002309AF" w:rsidRDefault="002309AF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637484"/>
      <w:docPartObj>
        <w:docPartGallery w:val="Page Numbers (Top of Page)"/>
        <w:docPartUnique/>
      </w:docPartObj>
    </w:sdtPr>
    <w:sdtContent>
      <w:p w:rsidR="0054778F" w:rsidRDefault="009F31A6">
        <w:pPr>
          <w:pStyle w:val="ac"/>
        </w:pPr>
        <w:r>
          <w:fldChar w:fldCharType="begin"/>
        </w:r>
        <w:r w:rsidR="00F51777">
          <w:instrText xml:space="preserve"> PAGE   \* MERGEFORMAT </w:instrText>
        </w:r>
        <w:r>
          <w:fldChar w:fldCharType="separate"/>
        </w:r>
        <w:r w:rsidR="00114869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9149D6" w:rsidRDefault="009149D6">
    <w:pPr>
      <w:pStyle w:val="ac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0173"/>
    <w:rsid w:val="000066AA"/>
    <w:rsid w:val="000610A2"/>
    <w:rsid w:val="00114869"/>
    <w:rsid w:val="00145363"/>
    <w:rsid w:val="001467CA"/>
    <w:rsid w:val="00167873"/>
    <w:rsid w:val="0017652B"/>
    <w:rsid w:val="001A4463"/>
    <w:rsid w:val="001F5CF1"/>
    <w:rsid w:val="002309AF"/>
    <w:rsid w:val="00302701"/>
    <w:rsid w:val="0034084C"/>
    <w:rsid w:val="00345508"/>
    <w:rsid w:val="003535FC"/>
    <w:rsid w:val="00387FB7"/>
    <w:rsid w:val="003B614C"/>
    <w:rsid w:val="003B7151"/>
    <w:rsid w:val="003C2AA6"/>
    <w:rsid w:val="0041254D"/>
    <w:rsid w:val="00460C7D"/>
    <w:rsid w:val="00464D2C"/>
    <w:rsid w:val="004A245B"/>
    <w:rsid w:val="0054778F"/>
    <w:rsid w:val="005A5FA5"/>
    <w:rsid w:val="005C2404"/>
    <w:rsid w:val="0060553C"/>
    <w:rsid w:val="00616C5A"/>
    <w:rsid w:val="0062775F"/>
    <w:rsid w:val="00665901"/>
    <w:rsid w:val="0068135D"/>
    <w:rsid w:val="006A305C"/>
    <w:rsid w:val="006E40F1"/>
    <w:rsid w:val="006F3CFB"/>
    <w:rsid w:val="00751E8D"/>
    <w:rsid w:val="00775F5E"/>
    <w:rsid w:val="007B3D40"/>
    <w:rsid w:val="007B432C"/>
    <w:rsid w:val="00884920"/>
    <w:rsid w:val="008872BF"/>
    <w:rsid w:val="008B7A95"/>
    <w:rsid w:val="008C0173"/>
    <w:rsid w:val="008D2D9C"/>
    <w:rsid w:val="008E6B81"/>
    <w:rsid w:val="009149D6"/>
    <w:rsid w:val="00924BA6"/>
    <w:rsid w:val="00934FB9"/>
    <w:rsid w:val="009463F6"/>
    <w:rsid w:val="00954E7C"/>
    <w:rsid w:val="009B6C41"/>
    <w:rsid w:val="009F31A6"/>
    <w:rsid w:val="00A034DD"/>
    <w:rsid w:val="00A14834"/>
    <w:rsid w:val="00AC4965"/>
    <w:rsid w:val="00B33768"/>
    <w:rsid w:val="00B6461B"/>
    <w:rsid w:val="00B73D06"/>
    <w:rsid w:val="00B8407E"/>
    <w:rsid w:val="00BA275B"/>
    <w:rsid w:val="00BD45F4"/>
    <w:rsid w:val="00C0298D"/>
    <w:rsid w:val="00C636BD"/>
    <w:rsid w:val="00CF4933"/>
    <w:rsid w:val="00D0775B"/>
    <w:rsid w:val="00D1391D"/>
    <w:rsid w:val="00D35CE5"/>
    <w:rsid w:val="00D7042A"/>
    <w:rsid w:val="00E13A5A"/>
    <w:rsid w:val="00E75BAA"/>
    <w:rsid w:val="00E927CF"/>
    <w:rsid w:val="00EA1F27"/>
    <w:rsid w:val="00ED008A"/>
    <w:rsid w:val="00F40812"/>
    <w:rsid w:val="00F51777"/>
    <w:rsid w:val="00F635F1"/>
    <w:rsid w:val="00F72A7D"/>
    <w:rsid w:val="00FA1FE6"/>
    <w:rsid w:val="00FC2074"/>
    <w:rsid w:val="00FC6E3C"/>
    <w:rsid w:val="00FD1E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4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0173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41254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41254D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41254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41254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41254D"/>
    <w:rPr>
      <w:b/>
      <w:bCs/>
      <w:sz w:val="20"/>
      <w:szCs w:val="20"/>
    </w:rPr>
  </w:style>
  <w:style w:type="paragraph" w:styleId="a9">
    <w:name w:val="Revision"/>
    <w:hidden/>
    <w:uiPriority w:val="99"/>
    <w:semiHidden/>
    <w:rsid w:val="0041254D"/>
    <w:pPr>
      <w:spacing w:line="240" w:lineRule="auto"/>
      <w:jc w:val="left"/>
    </w:pPr>
  </w:style>
  <w:style w:type="paragraph" w:styleId="aa">
    <w:name w:val="Balloon Text"/>
    <w:basedOn w:val="a"/>
    <w:link w:val="ab"/>
    <w:uiPriority w:val="99"/>
    <w:semiHidden/>
    <w:unhideWhenUsed/>
    <w:rsid w:val="004125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1254D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54778F"/>
    <w:pPr>
      <w:tabs>
        <w:tab w:val="center" w:pos="4819"/>
        <w:tab w:val="right" w:pos="9639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4778F"/>
  </w:style>
  <w:style w:type="paragraph" w:styleId="ae">
    <w:name w:val="footer"/>
    <w:basedOn w:val="a"/>
    <w:link w:val="af"/>
    <w:uiPriority w:val="99"/>
    <w:semiHidden/>
    <w:unhideWhenUsed/>
    <w:rsid w:val="0054778F"/>
    <w:pPr>
      <w:tabs>
        <w:tab w:val="center" w:pos="4819"/>
        <w:tab w:val="right" w:pos="9639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5477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35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3.rada.gov.ua/laws/show/4452-17/paran176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zakon3.rada.gov.ua/laws/show/4452-17/paran173" TargetMode="External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zakon3.rada.gov.ua/laws/show/4452-17/paran1290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zakon3.rada.gov.ua/laws/show/4452-17/paran61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1057</Words>
  <Characters>6031</Characters>
  <Application>Microsoft Office Word</Application>
  <DocSecurity>0</DocSecurity>
  <Lines>50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USN Team</Company>
  <LinksUpToDate>false</LinksUpToDate>
  <CharactersWithSpaces>7074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Lytvyn</dc:creator>
  <cp:lastModifiedBy>Khomenets</cp:lastModifiedBy>
  <cp:revision>2</cp:revision>
  <cp:lastPrinted>2017-07-27T14:33:00Z</cp:lastPrinted>
  <dcterms:created xsi:type="dcterms:W3CDTF">2017-09-07T13:43:00Z</dcterms:created>
  <dcterms:modified xsi:type="dcterms:W3CDTF">2017-09-07T13:43:00Z</dcterms:modified>
</cp:coreProperties>
</file>