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766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ВИКОНАВЧА ДИРЕК</w:t>
      </w:r>
      <w:r w:rsidRPr="0047664F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t>ЦІЯ</w:t>
      </w: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766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ФОНДУ ГАРАНТУВАННЯ ВКЛАДІВ ФІЗИЧНИХ ОСІБ</w:t>
      </w:r>
    </w:p>
    <w:p w:rsidR="005C2F35" w:rsidRPr="0047664F" w:rsidRDefault="005C2F35" w:rsidP="005C2F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F35" w:rsidRPr="0047664F" w:rsidRDefault="005C2F35" w:rsidP="005C2F35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2F35" w:rsidRPr="0047664F" w:rsidRDefault="005C2F35" w:rsidP="005C2F35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766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5C2F35" w:rsidRPr="0047664F" w:rsidTr="004E1E95">
        <w:trPr>
          <w:tblCellSpacing w:w="22" w:type="dxa"/>
        </w:trPr>
        <w:tc>
          <w:tcPr>
            <w:tcW w:w="1719" w:type="pct"/>
          </w:tcPr>
          <w:p w:rsidR="005C2F35" w:rsidRPr="00D37178" w:rsidRDefault="00D37178" w:rsidP="00D37178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</w:pPr>
            <w:r w:rsidRPr="00D37178">
              <w:rPr>
                <w:rFonts w:ascii="Times New Roman" w:eastAsia="Times New Roman" w:hAnsi="Times New Roman"/>
                <w:bCs/>
                <w:sz w:val="28"/>
                <w:szCs w:val="24"/>
                <w:lang w:val="en-US" w:eastAsia="uk-UA"/>
              </w:rPr>
              <w:t>17.08.2017</w:t>
            </w:r>
          </w:p>
        </w:tc>
        <w:tc>
          <w:tcPr>
            <w:tcW w:w="1473" w:type="pct"/>
          </w:tcPr>
          <w:p w:rsidR="005C2F35" w:rsidRPr="0047664F" w:rsidRDefault="005C2F35" w:rsidP="004E1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76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19" w:type="pct"/>
          </w:tcPr>
          <w:p w:rsidR="005C2F35" w:rsidRPr="00D37178" w:rsidRDefault="00D37178" w:rsidP="004E1E9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D37178">
              <w:rPr>
                <w:rFonts w:ascii="Times New Roman" w:eastAsia="Times New Roman" w:hAnsi="Times New Roman"/>
                <w:sz w:val="28"/>
                <w:szCs w:val="24"/>
                <w:lang w:val="en-US" w:eastAsia="uk-UA"/>
              </w:rPr>
              <w:t>№ 3626</w:t>
            </w:r>
          </w:p>
        </w:tc>
      </w:tr>
    </w:tbl>
    <w:p w:rsidR="007D7496" w:rsidRDefault="007D7496" w:rsidP="007D749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Зареєстровано в Міністерстві юстиції України </w:t>
      </w:r>
    </w:p>
    <w:p w:rsidR="007D7496" w:rsidRDefault="007D7496" w:rsidP="007D7496">
      <w:pPr>
        <w:spacing w:after="0"/>
        <w:ind w:left="3540" w:firstLine="708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вересня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року за № 1120/30988</w:t>
      </w:r>
    </w:p>
    <w:p w:rsidR="005C2F35" w:rsidRDefault="005C2F35" w:rsidP="005C2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64F">
        <w:rPr>
          <w:rFonts w:ascii="Times New Roman" w:eastAsia="Times New Roman" w:hAnsi="Times New Roman"/>
          <w:sz w:val="24"/>
          <w:szCs w:val="24"/>
          <w:lang w:eastAsia="uk-UA"/>
        </w:rPr>
        <w:br w:type="textWrapping" w:clear="all"/>
      </w:r>
      <w:r w:rsidRPr="004D4329">
        <w:rPr>
          <w:rFonts w:ascii="Times New Roman" w:eastAsia="Times New Roman" w:hAnsi="Times New Roman"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затвердження</w:t>
      </w:r>
      <w:r w:rsidR="00105C5C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r w:rsidRPr="004D4329">
        <w:rPr>
          <w:rFonts w:ascii="Times New Roman" w:eastAsia="Times New Roman" w:hAnsi="Times New Roman"/>
          <w:sz w:val="24"/>
          <w:szCs w:val="24"/>
          <w:lang w:eastAsia="uk-UA"/>
        </w:rPr>
        <w:t xml:space="preserve">мін </w:t>
      </w:r>
      <w:r w:rsidRPr="004D4329">
        <w:rPr>
          <w:rFonts w:ascii="Times New Roman" w:hAnsi="Times New Roman"/>
          <w:bCs/>
          <w:sz w:val="24"/>
          <w:szCs w:val="24"/>
        </w:rPr>
        <w:t xml:space="preserve">до </w:t>
      </w:r>
      <w:r w:rsidRPr="004D4329">
        <w:rPr>
          <w:rFonts w:ascii="Times New Roman" w:hAnsi="Times New Roman"/>
          <w:sz w:val="24"/>
          <w:szCs w:val="24"/>
        </w:rPr>
        <w:t>Положення про</w:t>
      </w:r>
    </w:p>
    <w:p w:rsidR="005C2F35" w:rsidRDefault="005C2F35" w:rsidP="005C2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329">
        <w:rPr>
          <w:rFonts w:ascii="Times New Roman" w:hAnsi="Times New Roman"/>
          <w:sz w:val="24"/>
          <w:szCs w:val="24"/>
        </w:rPr>
        <w:t>порядок розрахунку,</w:t>
      </w:r>
      <w:r w:rsidR="00105C5C">
        <w:rPr>
          <w:rFonts w:ascii="Times New Roman" w:hAnsi="Times New Roman"/>
          <w:sz w:val="24"/>
          <w:szCs w:val="24"/>
        </w:rPr>
        <w:t xml:space="preserve"> </w:t>
      </w:r>
      <w:r w:rsidRPr="004D4329">
        <w:rPr>
          <w:rFonts w:ascii="Times New Roman" w:hAnsi="Times New Roman"/>
          <w:sz w:val="24"/>
          <w:szCs w:val="24"/>
        </w:rPr>
        <w:t xml:space="preserve">нарахування і </w:t>
      </w:r>
    </w:p>
    <w:p w:rsidR="005C2F35" w:rsidRDefault="005C2F35" w:rsidP="005C2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329">
        <w:rPr>
          <w:rFonts w:ascii="Times New Roman" w:hAnsi="Times New Roman"/>
          <w:sz w:val="24"/>
          <w:szCs w:val="24"/>
        </w:rPr>
        <w:t>сплати зборів до Фонду гарантування</w:t>
      </w:r>
    </w:p>
    <w:p w:rsidR="005C2F35" w:rsidRPr="004D4329" w:rsidRDefault="005C2F35" w:rsidP="005C2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D4329">
        <w:rPr>
          <w:rFonts w:ascii="Times New Roman" w:hAnsi="Times New Roman"/>
          <w:sz w:val="24"/>
          <w:szCs w:val="24"/>
        </w:rPr>
        <w:t>вкладів фізичних осіб</w:t>
      </w:r>
    </w:p>
    <w:p w:rsidR="005C2F35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2F35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2F35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Відповідно до пункту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першої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12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частини першої статті 22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Закону України «Про систему гарантування вкладів фізичних осіб» виконавча дирекція Фонду гарантування вкладів фізичних осіб</w:t>
      </w:r>
      <w:r w:rsidRPr="0047664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вирішила:</w:t>
      </w: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C2F35" w:rsidRPr="00DD45CA" w:rsidRDefault="005C2F35" w:rsidP="005C2F3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1. Затвердити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Зміни д</w:t>
      </w:r>
      <w:r w:rsidRPr="00DD45CA">
        <w:rPr>
          <w:rFonts w:ascii="Times New Roman" w:hAnsi="Times New Roman"/>
          <w:bCs/>
          <w:sz w:val="28"/>
          <w:szCs w:val="28"/>
        </w:rPr>
        <w:t xml:space="preserve">о </w:t>
      </w:r>
      <w:r w:rsidRPr="00DD45CA">
        <w:rPr>
          <w:rFonts w:ascii="Times New Roman" w:hAnsi="Times New Roman"/>
          <w:sz w:val="28"/>
          <w:szCs w:val="28"/>
        </w:rPr>
        <w:t xml:space="preserve">Положення про порядок розрахунку, нарахування і сплати зборів до Фонду гарантування вкладів фізичних осіб, затвердженого рішення виконавчої дирекції Фонду гарантування вкладів </w:t>
      </w:r>
      <w:r w:rsidRPr="00B27B0A">
        <w:rPr>
          <w:rFonts w:ascii="Times New Roman" w:hAnsi="Times New Roman"/>
          <w:sz w:val="28"/>
          <w:szCs w:val="28"/>
        </w:rPr>
        <w:t xml:space="preserve">фізичних </w:t>
      </w:r>
      <w:r w:rsidR="00E57C23" w:rsidRPr="00B27B0A">
        <w:rPr>
          <w:rFonts w:ascii="Times New Roman" w:hAnsi="Times New Roman"/>
          <w:sz w:val="28"/>
          <w:szCs w:val="28"/>
        </w:rPr>
        <w:t xml:space="preserve">осіб </w:t>
      </w:r>
      <w:r w:rsidR="003A6C7C">
        <w:rPr>
          <w:rFonts w:ascii="Times New Roman" w:hAnsi="Times New Roman"/>
          <w:sz w:val="28"/>
          <w:szCs w:val="28"/>
        </w:rPr>
        <w:t xml:space="preserve">від </w:t>
      </w:r>
      <w:r w:rsidRPr="00B27B0A">
        <w:rPr>
          <w:rFonts w:ascii="Times New Roman" w:hAnsi="Times New Roman"/>
          <w:sz w:val="28"/>
          <w:szCs w:val="28"/>
        </w:rPr>
        <w:t>02</w:t>
      </w:r>
      <w:r w:rsidR="00A8256D">
        <w:rPr>
          <w:rFonts w:ascii="Times New Roman" w:hAnsi="Times New Roman"/>
          <w:sz w:val="28"/>
          <w:szCs w:val="28"/>
        </w:rPr>
        <w:t> </w:t>
      </w:r>
      <w:r w:rsidRPr="00B27B0A">
        <w:rPr>
          <w:rFonts w:ascii="Times New Roman" w:hAnsi="Times New Roman"/>
          <w:sz w:val="28"/>
          <w:szCs w:val="28"/>
        </w:rPr>
        <w:t>липня 2012 року</w:t>
      </w:r>
      <w:r w:rsidR="002D44EF" w:rsidRPr="002D44EF">
        <w:rPr>
          <w:rFonts w:ascii="Times New Roman" w:hAnsi="Times New Roman"/>
          <w:sz w:val="28"/>
          <w:szCs w:val="28"/>
        </w:rPr>
        <w:t xml:space="preserve"> </w:t>
      </w:r>
      <w:r w:rsidRPr="00B27B0A">
        <w:rPr>
          <w:rFonts w:ascii="Times New Roman" w:hAnsi="Times New Roman"/>
          <w:sz w:val="28"/>
          <w:szCs w:val="28"/>
        </w:rPr>
        <w:t xml:space="preserve">№ 1, зареєстрованим в Міністерстві юстиції </w:t>
      </w:r>
      <w:r w:rsidR="00E57C23" w:rsidRPr="00B27B0A">
        <w:rPr>
          <w:rFonts w:ascii="Times New Roman" w:hAnsi="Times New Roman"/>
          <w:sz w:val="28"/>
          <w:szCs w:val="28"/>
        </w:rPr>
        <w:t xml:space="preserve">України </w:t>
      </w:r>
      <w:r w:rsidRPr="00B27B0A">
        <w:rPr>
          <w:rFonts w:ascii="Times New Roman" w:hAnsi="Times New Roman"/>
          <w:sz w:val="28"/>
          <w:szCs w:val="28"/>
        </w:rPr>
        <w:t>27</w:t>
      </w:r>
      <w:r w:rsidR="00A8256D">
        <w:rPr>
          <w:rFonts w:ascii="Times New Roman" w:hAnsi="Times New Roman"/>
          <w:sz w:val="28"/>
          <w:szCs w:val="28"/>
        </w:rPr>
        <w:t> </w:t>
      </w:r>
      <w:r w:rsidRPr="00B27B0A">
        <w:rPr>
          <w:rFonts w:ascii="Times New Roman" w:hAnsi="Times New Roman"/>
          <w:sz w:val="28"/>
          <w:szCs w:val="28"/>
        </w:rPr>
        <w:t>липня 2012 року за № 1273/21585, що додаються</w:t>
      </w:r>
      <w:r w:rsidRPr="00B27B0A">
        <w:rPr>
          <w:rFonts w:ascii="Times New Roman" w:hAnsi="Times New Roman"/>
          <w:bCs/>
          <w:sz w:val="28"/>
          <w:szCs w:val="28"/>
        </w:rPr>
        <w:t>.</w:t>
      </w:r>
    </w:p>
    <w:p w:rsidR="005C2F35" w:rsidRDefault="005C2F35" w:rsidP="005C2F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. Відділу стратегії та нормативно-методологічного забезпечення разом з </w:t>
      </w:r>
      <w:r w:rsidRPr="0047664F">
        <w:rPr>
          <w:rFonts w:ascii="Times New Roman" w:hAnsi="Times New Roman"/>
          <w:sz w:val="28"/>
          <w:szCs w:val="28"/>
        </w:rPr>
        <w:t>юридичним департаментом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забезпечити подання цього рішення до Міністерства юстиції України для державної реєстрації.</w:t>
      </w:r>
    </w:p>
    <w:p w:rsidR="005C2F35" w:rsidRPr="0047664F" w:rsidRDefault="005C2F35" w:rsidP="005C2F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 xml:space="preserve">. Це рішення набирає чинності 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дня його офіційного опублікування, крім пункту 1 цього рішення, який набирає чинності з 01 січня 2018 року.</w:t>
      </w: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>. Відділу зв’язків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5C2F35" w:rsidRPr="0047664F" w:rsidRDefault="005C2F35" w:rsidP="005C2F3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47664F">
        <w:rPr>
          <w:rFonts w:ascii="Times New Roman" w:eastAsia="Times New Roman" w:hAnsi="Times New Roman"/>
          <w:sz w:val="28"/>
          <w:szCs w:val="28"/>
          <w:lang w:eastAsia="uk-UA"/>
        </w:rPr>
        <w:t>. Контроль за виконанням цього рішення залишити за директором-розпорядником</w:t>
      </w:r>
      <w:r w:rsidR="00D37178" w:rsidRPr="00D37178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Ворушиліним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К.М.</w:t>
      </w:r>
    </w:p>
    <w:p w:rsidR="005C2F35" w:rsidRPr="0047664F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C2F35" w:rsidRPr="00421D12" w:rsidRDefault="005C2F35" w:rsidP="005C2F3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>Директор-розпорядник</w:t>
      </w: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421D12">
        <w:rPr>
          <w:rFonts w:ascii="Times New Roman" w:eastAsia="Times New Roman" w:hAnsi="Times New Roman"/>
          <w:b/>
          <w:sz w:val="28"/>
          <w:szCs w:val="28"/>
          <w:lang w:eastAsia="uk-UA"/>
        </w:rPr>
        <w:tab/>
        <w:t xml:space="preserve">К.М. Ворушилін </w:t>
      </w:r>
    </w:p>
    <w:p w:rsidR="005C2F35" w:rsidRPr="00421D12" w:rsidRDefault="005C2F35" w:rsidP="005C2F3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E415D" w:rsidRDefault="002E415D" w:rsidP="005C2F3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E415D" w:rsidRDefault="002E415D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C2F35" w:rsidRPr="0047664F" w:rsidRDefault="005C2F35" w:rsidP="005C2F3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5C2F35" w:rsidRPr="002807A5" w:rsidTr="004E1E95">
        <w:trPr>
          <w:trHeight w:val="841"/>
        </w:trPr>
        <w:tc>
          <w:tcPr>
            <w:tcW w:w="4927" w:type="dxa"/>
            <w:shd w:val="clear" w:color="auto" w:fill="auto"/>
          </w:tcPr>
          <w:p w:rsidR="005C2F35" w:rsidRPr="00FE7E3D" w:rsidRDefault="005C2F35" w:rsidP="004E1E95">
            <w:pPr>
              <w:rPr>
                <w:rFonts w:ascii="Times New Roman" w:hAnsi="Times New Roman"/>
                <w:sz w:val="24"/>
                <w:szCs w:val="26"/>
              </w:rPr>
            </w:pPr>
            <w:r w:rsidRPr="00FE7E3D">
              <w:rPr>
                <w:rFonts w:ascii="Times New Roman" w:hAnsi="Times New Roman"/>
                <w:sz w:val="24"/>
                <w:szCs w:val="26"/>
              </w:rPr>
              <w:t xml:space="preserve">Інд. </w:t>
            </w:r>
            <w:r>
              <w:rPr>
                <w:rFonts w:ascii="Times New Roman" w:hAnsi="Times New Roman"/>
                <w:sz w:val="24"/>
                <w:szCs w:val="26"/>
              </w:rPr>
              <w:t>38</w:t>
            </w:r>
          </w:p>
        </w:tc>
        <w:tc>
          <w:tcPr>
            <w:tcW w:w="4928" w:type="dxa"/>
            <w:shd w:val="clear" w:color="auto" w:fill="auto"/>
          </w:tcPr>
          <w:p w:rsidR="005C2F35" w:rsidRPr="005A59AD" w:rsidRDefault="005C2F35" w:rsidP="004E1E95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E7E3D">
              <w:rPr>
                <w:rFonts w:ascii="Times New Roman" w:hAnsi="Times New Roman"/>
                <w:sz w:val="24"/>
                <w:szCs w:val="26"/>
              </w:rPr>
              <w:t xml:space="preserve">Протокол засідання виконавчої дирекції </w:t>
            </w:r>
          </w:p>
          <w:p w:rsidR="005C2F35" w:rsidRPr="00FE7E3D" w:rsidRDefault="005C2F35" w:rsidP="007D7496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E7E3D">
              <w:rPr>
                <w:rFonts w:ascii="Times New Roman" w:hAnsi="Times New Roman"/>
                <w:sz w:val="24"/>
                <w:szCs w:val="26"/>
              </w:rPr>
              <w:t>від «</w:t>
            </w:r>
            <w:r w:rsidR="007D7496">
              <w:rPr>
                <w:rFonts w:ascii="Times New Roman" w:hAnsi="Times New Roman"/>
                <w:sz w:val="24"/>
                <w:szCs w:val="26"/>
              </w:rPr>
              <w:t>17</w:t>
            </w:r>
            <w:r w:rsidRPr="00FE7E3D">
              <w:rPr>
                <w:rFonts w:ascii="Times New Roman" w:hAnsi="Times New Roman"/>
                <w:sz w:val="24"/>
                <w:szCs w:val="26"/>
              </w:rPr>
              <w:t>»</w:t>
            </w:r>
            <w:r w:rsidR="007D7496">
              <w:rPr>
                <w:rFonts w:ascii="Times New Roman" w:hAnsi="Times New Roman"/>
                <w:sz w:val="24"/>
                <w:szCs w:val="26"/>
              </w:rPr>
              <w:t xml:space="preserve"> 08</w:t>
            </w:r>
            <w:r w:rsidRPr="00FE7E3D">
              <w:rPr>
                <w:rFonts w:ascii="Times New Roman" w:hAnsi="Times New Roman"/>
                <w:sz w:val="24"/>
                <w:szCs w:val="26"/>
              </w:rPr>
              <w:t xml:space="preserve"> 20</w:t>
            </w:r>
            <w:r w:rsidR="007D7496">
              <w:rPr>
                <w:rFonts w:ascii="Times New Roman" w:hAnsi="Times New Roman"/>
                <w:sz w:val="24"/>
                <w:szCs w:val="26"/>
              </w:rPr>
              <w:t>17</w:t>
            </w:r>
            <w:r w:rsidRPr="00FE7E3D">
              <w:rPr>
                <w:rFonts w:ascii="Times New Roman" w:hAnsi="Times New Roman"/>
                <w:sz w:val="24"/>
                <w:szCs w:val="26"/>
              </w:rPr>
              <w:t xml:space="preserve"> року № </w:t>
            </w:r>
            <w:r w:rsidR="007D7496">
              <w:rPr>
                <w:rFonts w:ascii="Times New Roman" w:hAnsi="Times New Roman"/>
                <w:sz w:val="24"/>
                <w:szCs w:val="26"/>
              </w:rPr>
              <w:t>135/17</w:t>
            </w:r>
          </w:p>
        </w:tc>
      </w:tr>
    </w:tbl>
    <w:p w:rsidR="005C2F35" w:rsidRDefault="005C2F35" w:rsidP="005C2F35">
      <w:pPr>
        <w:spacing w:after="0"/>
        <w:rPr>
          <w:rFonts w:ascii="Times New Roman" w:hAnsi="Times New Roman"/>
          <w:sz w:val="28"/>
          <w:szCs w:val="28"/>
        </w:rPr>
      </w:pPr>
    </w:p>
    <w:p w:rsidR="00E57C23" w:rsidRDefault="005C2F35" w:rsidP="00E57C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7C23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  <w:r w:rsidRPr="0061764A">
        <w:rPr>
          <w:rFonts w:ascii="Times New Roman" w:hAnsi="Times New Roman"/>
          <w:sz w:val="28"/>
          <w:szCs w:val="28"/>
        </w:rPr>
        <w:t>Члени виконавчої дирекції:</w:t>
      </w: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  <w:r w:rsidRPr="0061764A">
        <w:rPr>
          <w:rFonts w:ascii="Times New Roman" w:hAnsi="Times New Roman"/>
          <w:sz w:val="28"/>
          <w:szCs w:val="28"/>
        </w:rPr>
        <w:t>_________________ (А.Я. Оленчик)</w:t>
      </w: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  <w:r w:rsidRPr="0061764A">
        <w:rPr>
          <w:rFonts w:ascii="Times New Roman" w:hAnsi="Times New Roman"/>
          <w:sz w:val="28"/>
          <w:szCs w:val="28"/>
        </w:rPr>
        <w:t>_________________ (В.В. Новіков)</w:t>
      </w:r>
    </w:p>
    <w:p w:rsidR="00E57C23" w:rsidRDefault="00E57C23" w:rsidP="00E57C23">
      <w:pPr>
        <w:rPr>
          <w:rFonts w:ascii="Times New Roman" w:hAnsi="Times New Roman"/>
          <w:sz w:val="28"/>
          <w:szCs w:val="28"/>
        </w:rPr>
      </w:pPr>
      <w:r w:rsidRPr="0061764A">
        <w:rPr>
          <w:rFonts w:ascii="Times New Roman" w:hAnsi="Times New Roman"/>
          <w:sz w:val="28"/>
          <w:szCs w:val="28"/>
        </w:rPr>
        <w:t>_________________ (О.В. Нужненко)</w:t>
      </w:r>
    </w:p>
    <w:p w:rsidR="00E57C23" w:rsidRDefault="00E57C23" w:rsidP="00E5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(Н.Є. Рудуха</w:t>
      </w:r>
      <w:r w:rsidRPr="0061764A">
        <w:rPr>
          <w:rFonts w:ascii="Times New Roman" w:hAnsi="Times New Roman"/>
          <w:sz w:val="28"/>
          <w:szCs w:val="28"/>
        </w:rPr>
        <w:t>)</w:t>
      </w: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</w:t>
      </w:r>
      <w:r w:rsidRPr="006117E7">
        <w:rPr>
          <w:rFonts w:ascii="Times New Roman" w:eastAsia="Times New Roman" w:hAnsi="Times New Roman"/>
          <w:bCs/>
          <w:kern w:val="32"/>
          <w:sz w:val="28"/>
          <w:szCs w:val="28"/>
        </w:rPr>
        <w:t>(С.В. Рекрут)</w:t>
      </w: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  <w:r w:rsidRPr="0061764A">
        <w:rPr>
          <w:rFonts w:ascii="Times New Roman" w:hAnsi="Times New Roman"/>
          <w:sz w:val="28"/>
          <w:szCs w:val="28"/>
        </w:rPr>
        <w:t>Погоджено:</w:t>
      </w:r>
    </w:p>
    <w:p w:rsidR="00E57C23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Фінансовий департамент        </w:t>
      </w:r>
      <w:r w:rsidRPr="0047664F">
        <w:rPr>
          <w:rFonts w:ascii="Times New Roman" w:hAnsi="Times New Roman"/>
          <w:sz w:val="28"/>
          <w:szCs w:val="28"/>
        </w:rPr>
        <w:t>________________ (</w:t>
      </w:r>
      <w:r>
        <w:rPr>
          <w:rFonts w:ascii="Times New Roman" w:hAnsi="Times New Roman"/>
          <w:sz w:val="28"/>
          <w:szCs w:val="28"/>
        </w:rPr>
        <w:t>О.В.Нужненко)</w:t>
      </w:r>
    </w:p>
    <w:p w:rsidR="00E57C23" w:rsidRPr="0047664F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</w:p>
    <w:p w:rsidR="00E57C23" w:rsidRPr="0047664F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Бухгалтерія                                  </w:t>
      </w:r>
      <w:r w:rsidRPr="0047664F">
        <w:rPr>
          <w:rFonts w:ascii="Times New Roman" w:hAnsi="Times New Roman"/>
          <w:sz w:val="28"/>
          <w:szCs w:val="28"/>
        </w:rPr>
        <w:t>________________ (</w:t>
      </w:r>
      <w:r>
        <w:rPr>
          <w:rFonts w:ascii="Times New Roman" w:hAnsi="Times New Roman"/>
          <w:sz w:val="28"/>
          <w:szCs w:val="28"/>
        </w:rPr>
        <w:t>Ю.О. Малахова</w:t>
      </w:r>
      <w:r w:rsidRPr="0047664F">
        <w:rPr>
          <w:rFonts w:ascii="Times New Roman" w:hAnsi="Times New Roman"/>
          <w:sz w:val="28"/>
          <w:szCs w:val="28"/>
        </w:rPr>
        <w:t>)</w:t>
      </w:r>
    </w:p>
    <w:p w:rsidR="00E57C23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</w:p>
    <w:p w:rsidR="00E57C23" w:rsidRPr="0047664F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664F">
        <w:rPr>
          <w:rFonts w:ascii="Times New Roman" w:hAnsi="Times New Roman"/>
          <w:sz w:val="28"/>
          <w:szCs w:val="28"/>
        </w:rPr>
        <w:t xml:space="preserve">ідділ стратегії та </w:t>
      </w:r>
      <w:proofErr w:type="spellStart"/>
      <w:r w:rsidRPr="0047664F">
        <w:rPr>
          <w:rFonts w:ascii="Times New Roman" w:hAnsi="Times New Roman"/>
          <w:sz w:val="28"/>
          <w:szCs w:val="28"/>
        </w:rPr>
        <w:t>нормативно-</w:t>
      </w:r>
      <w:proofErr w:type="spellEnd"/>
    </w:p>
    <w:p w:rsidR="00E57C23" w:rsidRPr="0047664F" w:rsidRDefault="00E57C23" w:rsidP="00E57C23">
      <w:pPr>
        <w:spacing w:after="0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 xml:space="preserve">методологічного забезпечення                    </w:t>
      </w:r>
      <w:r w:rsidR="00B064DC">
        <w:rPr>
          <w:rFonts w:ascii="Times New Roman" w:hAnsi="Times New Roman"/>
          <w:sz w:val="28"/>
          <w:szCs w:val="28"/>
        </w:rPr>
        <w:t xml:space="preserve">   _</w:t>
      </w:r>
      <w:r w:rsidRPr="0047664F">
        <w:rPr>
          <w:rFonts w:ascii="Times New Roman" w:hAnsi="Times New Roman"/>
          <w:sz w:val="28"/>
          <w:szCs w:val="28"/>
        </w:rPr>
        <w:t>_________________ (Н.О. Лапаєва)</w:t>
      </w:r>
    </w:p>
    <w:p w:rsidR="00E57C23" w:rsidRPr="006117E7" w:rsidRDefault="00E57C23" w:rsidP="00E57C23">
      <w:pPr>
        <w:contextualSpacing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E57C23" w:rsidRPr="006117E7" w:rsidRDefault="00E57C23" w:rsidP="00E57C23">
      <w:pPr>
        <w:contextualSpacing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E57C23" w:rsidRPr="006117E7" w:rsidRDefault="00E57C23" w:rsidP="00E57C23">
      <w:pPr>
        <w:contextualSpacing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117E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Юридичний департамент  </w:t>
      </w:r>
      <w:r w:rsidRPr="006117E7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6117E7">
        <w:rPr>
          <w:rFonts w:ascii="Times New Roman" w:eastAsia="Times New Roman" w:hAnsi="Times New Roman"/>
          <w:bCs/>
          <w:kern w:val="32"/>
          <w:sz w:val="28"/>
          <w:szCs w:val="28"/>
        </w:rPr>
        <w:tab/>
        <w:t>______________ (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О.П. Плотніченко</w:t>
      </w:r>
      <w:r w:rsidRPr="006117E7">
        <w:rPr>
          <w:rFonts w:ascii="Times New Roman" w:eastAsia="Times New Roman" w:hAnsi="Times New Roman"/>
          <w:bCs/>
          <w:kern w:val="32"/>
          <w:sz w:val="28"/>
          <w:szCs w:val="28"/>
        </w:rPr>
        <w:t>)</w:t>
      </w:r>
    </w:p>
    <w:p w:rsidR="00E57C23" w:rsidRPr="006117E7" w:rsidRDefault="00E57C23" w:rsidP="00E57C23">
      <w:pPr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</w:p>
    <w:p w:rsidR="00E57C23" w:rsidRPr="0061764A" w:rsidRDefault="00E57C23" w:rsidP="00E57C23">
      <w:pPr>
        <w:rPr>
          <w:rFonts w:ascii="Times New Roman" w:hAnsi="Times New Roman"/>
          <w:sz w:val="28"/>
          <w:szCs w:val="28"/>
        </w:rPr>
      </w:pPr>
    </w:p>
    <w:p w:rsidR="00E57C23" w:rsidRPr="000013E2" w:rsidRDefault="00E57C23" w:rsidP="00E57C23">
      <w:pPr>
        <w:rPr>
          <w:rFonts w:ascii="Times New Roman" w:hAnsi="Times New Roman"/>
          <w:sz w:val="24"/>
          <w:szCs w:val="24"/>
        </w:rPr>
      </w:pPr>
      <w:r w:rsidRPr="00D37178">
        <w:rPr>
          <w:rFonts w:ascii="Times New Roman" w:hAnsi="Times New Roman"/>
          <w:sz w:val="24"/>
          <w:szCs w:val="24"/>
        </w:rPr>
        <w:t xml:space="preserve">Виконавець: </w:t>
      </w:r>
      <w:r w:rsidR="008C251D" w:rsidRPr="00D37178">
        <w:rPr>
          <w:rFonts w:ascii="Times New Roman" w:hAnsi="Times New Roman"/>
          <w:sz w:val="24"/>
          <w:szCs w:val="24"/>
        </w:rPr>
        <w:t>Т.Р. Комареус</w:t>
      </w:r>
    </w:p>
    <w:p w:rsidR="00C82C70" w:rsidRDefault="00C82C70">
      <w:pPr>
        <w:rPr>
          <w:rFonts w:ascii="Times New Roman" w:hAnsi="Times New Roman"/>
          <w:sz w:val="28"/>
          <w:szCs w:val="28"/>
        </w:rPr>
        <w:sectPr w:rsidR="00C82C70" w:rsidSect="00C82C70">
          <w:head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E57C23" w:rsidRDefault="00E57C23">
      <w:pPr>
        <w:rPr>
          <w:rFonts w:ascii="Times New Roman" w:hAnsi="Times New Roman"/>
          <w:sz w:val="28"/>
          <w:szCs w:val="28"/>
        </w:rPr>
      </w:pP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ЗАТВЕРДЖЕНО</w:t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Рішення виконавчої дирекції</w:t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Фонду гарантування вкладів</w:t>
      </w:r>
    </w:p>
    <w:p w:rsidR="00216641" w:rsidRPr="0047664F" w:rsidRDefault="00216641" w:rsidP="0021664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7664F">
        <w:rPr>
          <w:rFonts w:ascii="Times New Roman" w:hAnsi="Times New Roman"/>
          <w:sz w:val="28"/>
          <w:szCs w:val="28"/>
        </w:rPr>
        <w:t>фізичних осіб</w:t>
      </w:r>
    </w:p>
    <w:p w:rsidR="00216641" w:rsidRPr="0047664F" w:rsidRDefault="00D37178" w:rsidP="00216641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серпня 20</w:t>
      </w:r>
      <w:r w:rsidR="00216641">
        <w:rPr>
          <w:rFonts w:ascii="Times New Roman" w:hAnsi="Times New Roman"/>
          <w:sz w:val="28"/>
          <w:szCs w:val="28"/>
        </w:rPr>
        <w:t>17</w:t>
      </w:r>
      <w:r w:rsidR="00216641" w:rsidRPr="0047664F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3626</w:t>
      </w:r>
    </w:p>
    <w:p w:rsidR="00216641" w:rsidRPr="0047664F" w:rsidRDefault="00216641" w:rsidP="00216641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216641" w:rsidRDefault="00216641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C14BCC" w:rsidRPr="0047664F" w:rsidRDefault="00C14BCC" w:rsidP="00216641">
      <w:pPr>
        <w:spacing w:after="0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216641" w:rsidRPr="00A809A2" w:rsidRDefault="00216641" w:rsidP="00216641">
      <w:pPr>
        <w:spacing w:after="1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216641" w:rsidRPr="00D37178" w:rsidRDefault="00216641" w:rsidP="00216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7178">
        <w:rPr>
          <w:rFonts w:ascii="Times New Roman" w:hAnsi="Times New Roman"/>
          <w:b/>
          <w:sz w:val="28"/>
          <w:szCs w:val="28"/>
        </w:rPr>
        <w:t>ЗМІНИ</w:t>
      </w:r>
    </w:p>
    <w:p w:rsidR="00216641" w:rsidRPr="00D37178" w:rsidRDefault="00216641" w:rsidP="00216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до </w:t>
      </w:r>
      <w:r w:rsidRPr="00D37178">
        <w:rPr>
          <w:rFonts w:ascii="Times New Roman" w:hAnsi="Times New Roman"/>
          <w:b/>
          <w:sz w:val="28"/>
          <w:szCs w:val="28"/>
        </w:rPr>
        <w:t>Положення про порядок розрахунку, нарахування і сплати зборів до Фонду гарантування вкладів фізичних осіб</w:t>
      </w:r>
    </w:p>
    <w:p w:rsidR="004525FD" w:rsidRPr="00D37178" w:rsidRDefault="004525FD" w:rsidP="002166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4525FD" w:rsidRPr="00D37178" w:rsidRDefault="004525FD" w:rsidP="004525FD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>Пункт 3 розділу І викласти в такій редакції:</w:t>
      </w:r>
    </w:p>
    <w:p w:rsidR="004525FD" w:rsidRPr="00D37178" w:rsidRDefault="00C14BCC" w:rsidP="00C1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4525FD" w:rsidRPr="00D37178">
        <w:rPr>
          <w:rFonts w:ascii="Times New Roman" w:eastAsia="Times New Roman" w:hAnsi="Times New Roman"/>
          <w:sz w:val="28"/>
          <w:szCs w:val="28"/>
          <w:lang w:eastAsia="uk-UA"/>
        </w:rPr>
        <w:t xml:space="preserve">«3. </w:t>
      </w:r>
      <w:r w:rsidR="004525FD" w:rsidRPr="00D37178">
        <w:rPr>
          <w:rFonts w:ascii="Times New Roman" w:hAnsi="Times New Roman"/>
          <w:sz w:val="28"/>
          <w:szCs w:val="28"/>
        </w:rPr>
        <w:t xml:space="preserve">Це Положення встановлює порядок визначення бази нарахування зборів, їх суми, порядок їх сплати, а також </w:t>
      </w:r>
      <w:r w:rsidR="004525FD" w:rsidRPr="00D37178">
        <w:rPr>
          <w:rFonts w:ascii="Times New Roman" w:hAnsi="Times New Roman"/>
          <w:color w:val="000000"/>
          <w:sz w:val="28"/>
          <w:szCs w:val="28"/>
        </w:rPr>
        <w:t>поряд</w:t>
      </w:r>
      <w:r w:rsidR="00086747" w:rsidRPr="00D37178">
        <w:rPr>
          <w:rFonts w:ascii="Times New Roman" w:hAnsi="Times New Roman"/>
          <w:color w:val="000000"/>
          <w:sz w:val="28"/>
          <w:szCs w:val="28"/>
        </w:rPr>
        <w:t>ок</w:t>
      </w:r>
      <w:r w:rsidR="004525FD" w:rsidRPr="00D37178">
        <w:rPr>
          <w:rFonts w:ascii="Times New Roman" w:hAnsi="Times New Roman"/>
          <w:color w:val="000000"/>
          <w:sz w:val="28"/>
          <w:szCs w:val="28"/>
        </w:rPr>
        <w:t xml:space="preserve"> розрахунку диференційованих зборів.</w:t>
      </w:r>
      <w:r w:rsidR="004525FD" w:rsidRPr="00D37178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4525FD" w:rsidRPr="00D37178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525FD" w:rsidRPr="00D37178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ab/>
        <w:t>2. Викласти розділ IV у такій редакції:</w:t>
      </w:r>
    </w:p>
    <w:p w:rsidR="004525FD" w:rsidRPr="00D37178" w:rsidRDefault="004525FD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 w:rsidRPr="00D37178">
        <w:rPr>
          <w:rFonts w:ascii="Times New Roman" w:hAnsi="Times New Roman"/>
          <w:color w:val="auto"/>
          <w:lang w:eastAsia="uk-UA"/>
        </w:rPr>
        <w:tab/>
      </w:r>
      <w:r w:rsidRPr="00D37178">
        <w:rPr>
          <w:rFonts w:ascii="Times New Roman" w:hAnsi="Times New Roman"/>
          <w:b w:val="0"/>
          <w:color w:val="auto"/>
          <w:lang w:eastAsia="uk-UA"/>
        </w:rPr>
        <w:t xml:space="preserve">«IV. </w:t>
      </w:r>
      <w:r w:rsidRPr="00D37178">
        <w:rPr>
          <w:rFonts w:ascii="Times New Roman" w:hAnsi="Times New Roman"/>
          <w:b w:val="0"/>
          <w:color w:val="auto"/>
        </w:rPr>
        <w:t>Порядок розрахунку, нарахування і сплати регулярного збору у формі диференційованого збору до Фонду</w:t>
      </w:r>
    </w:p>
    <w:p w:rsidR="004525FD" w:rsidRPr="00D37178" w:rsidRDefault="004525FD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1. Розрахунок розміру регулярного збору у формі</w:t>
      </w:r>
      <w:r w:rsidR="00C14BCC" w:rsidRPr="00D37178">
        <w:rPr>
          <w:sz w:val="28"/>
          <w:szCs w:val="28"/>
        </w:rPr>
        <w:t xml:space="preserve"> диференційованого збору (далі –</w:t>
      </w:r>
      <w:r w:rsidRPr="00D37178">
        <w:rPr>
          <w:sz w:val="28"/>
          <w:szCs w:val="28"/>
        </w:rPr>
        <w:t xml:space="preserve"> диференційований збір) проводиться шляхом зважування базової річної ставки збору за ступенем ризику.</w:t>
      </w:r>
    </w:p>
    <w:p w:rsidR="004525FD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</w:r>
      <w:r w:rsidR="004525FD" w:rsidRPr="00D37178">
        <w:rPr>
          <w:sz w:val="28"/>
          <w:szCs w:val="28"/>
        </w:rPr>
        <w:t xml:space="preserve">Ступінь ризику </w:t>
      </w:r>
      <w:r w:rsidRPr="00D37178">
        <w:rPr>
          <w:sz w:val="28"/>
          <w:szCs w:val="28"/>
          <w:lang w:val="ru-RU"/>
        </w:rPr>
        <w:t>–</w:t>
      </w:r>
      <w:r w:rsidR="004525FD" w:rsidRPr="00D37178">
        <w:rPr>
          <w:sz w:val="28"/>
          <w:szCs w:val="28"/>
        </w:rPr>
        <w:t xml:space="preserve"> числовий показни</w:t>
      </w:r>
      <w:r w:rsidRPr="00D37178">
        <w:rPr>
          <w:sz w:val="28"/>
          <w:szCs w:val="28"/>
        </w:rPr>
        <w:t>к рівня ризику учасника Фонду.</w:t>
      </w:r>
    </w:p>
    <w:p w:rsidR="004525FD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</w:r>
      <w:r w:rsidR="004525FD" w:rsidRPr="00D37178">
        <w:rPr>
          <w:sz w:val="28"/>
          <w:szCs w:val="28"/>
        </w:rPr>
        <w:t xml:space="preserve">Ступінь ризику визначається з урахуванням категорії банку, рівня ризику та загального балу, розрахованого на підставі визначених Фондом показників, які характеризують </w:t>
      </w:r>
      <w:r w:rsidR="004525FD" w:rsidRPr="00D37178">
        <w:rPr>
          <w:color w:val="000000"/>
          <w:sz w:val="28"/>
          <w:szCs w:val="28"/>
        </w:rPr>
        <w:t>індикатори.</w:t>
      </w:r>
    </w:p>
    <w:p w:rsidR="004525FD" w:rsidRPr="00D37178" w:rsidRDefault="004525FD" w:rsidP="004525FD">
      <w:pPr>
        <w:pStyle w:val="BodyTextIndent"/>
        <w:widowControl w:val="0"/>
        <w:spacing w:after="0"/>
        <w:ind w:left="0" w:firstLine="709"/>
        <w:jc w:val="both"/>
        <w:rPr>
          <w:rStyle w:val="longtext"/>
          <w:color w:val="000000"/>
          <w:sz w:val="28"/>
          <w:szCs w:val="28"/>
        </w:rPr>
      </w:pPr>
      <w:r w:rsidRPr="00D37178">
        <w:rPr>
          <w:rStyle w:val="longtext"/>
          <w:color w:val="000000"/>
          <w:sz w:val="28"/>
          <w:szCs w:val="28"/>
        </w:rPr>
        <w:t>Перелік індикаторів, складові показників, які використовуються для їх розрахунку визн</w:t>
      </w:r>
      <w:r w:rsidR="00C14BCC" w:rsidRPr="00D37178">
        <w:rPr>
          <w:rStyle w:val="longtext"/>
          <w:color w:val="000000"/>
          <w:sz w:val="28"/>
          <w:szCs w:val="28"/>
        </w:rPr>
        <w:t>ачені у таблицях 1, 2 додатка</w:t>
      </w:r>
      <w:r w:rsidRPr="00D37178">
        <w:rPr>
          <w:rStyle w:val="longtext"/>
          <w:color w:val="000000"/>
          <w:sz w:val="28"/>
          <w:szCs w:val="28"/>
        </w:rPr>
        <w:t xml:space="preserve"> 4. </w:t>
      </w:r>
    </w:p>
    <w:p w:rsidR="00C14BCC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 w:rsidRPr="00D37178">
        <w:rPr>
          <w:sz w:val="28"/>
          <w:szCs w:val="28"/>
        </w:rPr>
        <w:lastRenderedPageBreak/>
        <w:tab/>
      </w:r>
      <w:r w:rsidR="004525FD" w:rsidRPr="00D37178">
        <w:rPr>
          <w:sz w:val="28"/>
          <w:szCs w:val="28"/>
        </w:rPr>
        <w:t>Алгоритм розрахунку та порогові значення кількісних індикаторів, бали за якісними та кількісними індикаторами  розробляються відповідно до цього Положення та затверджуються окремим рішенням виконавчої дирекції Фонду.</w:t>
      </w:r>
    </w:p>
    <w:p w:rsidR="004525FD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 w:rsidRPr="00D37178">
        <w:rPr>
          <w:color w:val="000000"/>
          <w:sz w:val="28"/>
          <w:szCs w:val="28"/>
        </w:rPr>
        <w:tab/>
      </w:r>
      <w:r w:rsidR="004525FD" w:rsidRPr="00D37178">
        <w:rPr>
          <w:color w:val="000000"/>
          <w:sz w:val="28"/>
          <w:szCs w:val="28"/>
        </w:rPr>
        <w:t>2. Учасник Фонду щоквартально самостійно визначає рівень ризику станом на перше число місяця наступного за звітним кварталом.</w:t>
      </w:r>
    </w:p>
    <w:p w:rsidR="004525FD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 w:rsidRPr="00D37178">
        <w:rPr>
          <w:color w:val="000000"/>
          <w:sz w:val="28"/>
          <w:szCs w:val="28"/>
        </w:rPr>
        <w:tab/>
      </w:r>
      <w:r w:rsidR="004525FD" w:rsidRPr="00D37178">
        <w:rPr>
          <w:color w:val="000000"/>
          <w:sz w:val="28"/>
          <w:szCs w:val="28"/>
        </w:rPr>
        <w:t xml:space="preserve">Для визначення рівня ризику учасник Фонду розраховує загальний бал по сумі кількісних та якісних індикаторів, що зважуються на вагові коефіцієнти в розрізі групи показників. </w:t>
      </w:r>
    </w:p>
    <w:p w:rsidR="004525FD" w:rsidRPr="00D37178" w:rsidRDefault="00C14BCC" w:rsidP="004525FD">
      <w:pPr>
        <w:pStyle w:val="a5"/>
        <w:jc w:val="both"/>
        <w:rPr>
          <w:color w:val="000000"/>
          <w:sz w:val="28"/>
          <w:szCs w:val="28"/>
        </w:rPr>
      </w:pPr>
      <w:r w:rsidRPr="00D37178">
        <w:rPr>
          <w:color w:val="000000"/>
          <w:sz w:val="28"/>
          <w:szCs w:val="28"/>
        </w:rPr>
        <w:tab/>
      </w:r>
      <w:r w:rsidR="004525FD" w:rsidRPr="00D37178">
        <w:rPr>
          <w:color w:val="000000"/>
          <w:sz w:val="28"/>
          <w:szCs w:val="28"/>
        </w:rPr>
        <w:t>Кількісні індикатори  характеризують:</w:t>
      </w:r>
    </w:p>
    <w:p w:rsidR="004525FD" w:rsidRPr="00D37178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D37178">
        <w:rPr>
          <w:rFonts w:ascii="Times New Roman" w:eastAsia="Batang" w:hAnsi="Times New Roman"/>
          <w:color w:val="000000"/>
          <w:sz w:val="28"/>
          <w:szCs w:val="28"/>
        </w:rPr>
        <w:t>рівень капіталу (індикатор: К1, К2);</w:t>
      </w:r>
    </w:p>
    <w:p w:rsidR="004525FD" w:rsidRPr="00D37178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D37178">
        <w:rPr>
          <w:rFonts w:ascii="Times New Roman" w:eastAsia="Batang" w:hAnsi="Times New Roman"/>
          <w:color w:val="000000"/>
          <w:sz w:val="28"/>
          <w:szCs w:val="28"/>
        </w:rPr>
        <w:t>якість активів (індикатор: ЯА1, ЯА2, ЯА3);</w:t>
      </w:r>
    </w:p>
    <w:p w:rsidR="004525FD" w:rsidRPr="00D37178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D37178">
        <w:rPr>
          <w:rFonts w:ascii="Times New Roman" w:eastAsia="Batang" w:hAnsi="Times New Roman"/>
          <w:color w:val="000000"/>
          <w:sz w:val="28"/>
          <w:szCs w:val="28"/>
        </w:rPr>
        <w:t>рівень лік</w:t>
      </w:r>
      <w:r w:rsidR="00C14BCC" w:rsidRPr="00D37178">
        <w:rPr>
          <w:rFonts w:ascii="Times New Roman" w:eastAsia="Batang" w:hAnsi="Times New Roman"/>
          <w:color w:val="000000"/>
          <w:sz w:val="28"/>
          <w:szCs w:val="28"/>
        </w:rPr>
        <w:t>відності (індикатор: Л1,Л2,Л3);</w:t>
      </w:r>
    </w:p>
    <w:p w:rsidR="004525FD" w:rsidRPr="00D37178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D37178">
        <w:rPr>
          <w:rFonts w:ascii="Times New Roman" w:eastAsia="Batang" w:hAnsi="Times New Roman"/>
          <w:color w:val="000000"/>
          <w:sz w:val="28"/>
          <w:szCs w:val="28"/>
        </w:rPr>
        <w:t>ефективність діяльності (індикатор: Е1,Е2,Е3);</w:t>
      </w:r>
    </w:p>
    <w:p w:rsidR="004525FD" w:rsidRPr="00D37178" w:rsidRDefault="004525FD" w:rsidP="00C14BCC">
      <w:pPr>
        <w:spacing w:after="0" w:line="240" w:lineRule="auto"/>
        <w:ind w:left="927"/>
        <w:rPr>
          <w:rFonts w:ascii="Times New Roman" w:eastAsia="Batang" w:hAnsi="Times New Roman"/>
          <w:color w:val="000000"/>
          <w:sz w:val="28"/>
          <w:szCs w:val="28"/>
        </w:rPr>
      </w:pPr>
      <w:r w:rsidRPr="00D37178">
        <w:rPr>
          <w:rFonts w:ascii="Times New Roman" w:eastAsia="Batang" w:hAnsi="Times New Roman"/>
          <w:color w:val="000000"/>
          <w:sz w:val="28"/>
          <w:szCs w:val="28"/>
        </w:rPr>
        <w:t>якість управління пасивами (індикатор: П1,П2).</w:t>
      </w:r>
    </w:p>
    <w:p w:rsidR="004525FD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rStyle w:val="longtext"/>
          <w:color w:val="000000"/>
          <w:sz w:val="28"/>
          <w:szCs w:val="28"/>
        </w:rPr>
      </w:pPr>
      <w:r w:rsidRPr="00D37178">
        <w:rPr>
          <w:rStyle w:val="longtext"/>
          <w:color w:val="000000"/>
          <w:sz w:val="28"/>
          <w:szCs w:val="28"/>
        </w:rPr>
        <w:tab/>
      </w:r>
      <w:r w:rsidR="004525FD" w:rsidRPr="00D37178">
        <w:rPr>
          <w:rStyle w:val="longtext"/>
          <w:color w:val="000000"/>
          <w:sz w:val="28"/>
          <w:szCs w:val="28"/>
        </w:rPr>
        <w:t xml:space="preserve">Якісні індикатори характеризують дотримання  банком вимог законодавства, у тому числі нормативно-правових актів Національного банку України, Фонду, виконання  встановлених ними вимог та зобов’язань. </w:t>
      </w:r>
    </w:p>
    <w:p w:rsidR="004525FD" w:rsidRPr="00D37178" w:rsidRDefault="004525FD" w:rsidP="004525FD">
      <w:pPr>
        <w:ind w:left="567"/>
        <w:rPr>
          <w:rFonts w:ascii="Times New Roman" w:eastAsia="Batang" w:hAnsi="Times New Roman"/>
          <w:color w:val="000000"/>
          <w:sz w:val="28"/>
          <w:szCs w:val="28"/>
        </w:rPr>
      </w:pPr>
    </w:p>
    <w:p w:rsidR="004525FD" w:rsidRPr="00D37178" w:rsidRDefault="00C14BCC" w:rsidP="00C14BCC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 w:rsidRPr="00D37178">
        <w:rPr>
          <w:color w:val="000000"/>
          <w:sz w:val="28"/>
          <w:szCs w:val="28"/>
        </w:rPr>
        <w:tab/>
      </w:r>
      <w:r w:rsidR="004525FD" w:rsidRPr="00D37178">
        <w:rPr>
          <w:color w:val="000000"/>
          <w:sz w:val="28"/>
          <w:szCs w:val="28"/>
        </w:rPr>
        <w:t>3. Віднесення банку до відповідної категорії за рівнем ризику та присвоєння відповідного ступеню ризику здійснюється учасником Фонду відповідно до ма</w:t>
      </w:r>
      <w:r w:rsidRPr="00D37178">
        <w:rPr>
          <w:color w:val="000000"/>
          <w:sz w:val="28"/>
          <w:szCs w:val="28"/>
        </w:rPr>
        <w:t>триці,  визначеної у таблиці 3 додатка</w:t>
      </w:r>
      <w:r w:rsidR="004525FD" w:rsidRPr="00D37178">
        <w:rPr>
          <w:color w:val="000000"/>
          <w:sz w:val="28"/>
          <w:szCs w:val="28"/>
        </w:rPr>
        <w:t xml:space="preserve"> 4.</w:t>
      </w:r>
    </w:p>
    <w:p w:rsidR="00C14BCC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color w:val="000000"/>
          <w:sz w:val="28"/>
          <w:szCs w:val="28"/>
        </w:rPr>
      </w:pPr>
      <w:r w:rsidRPr="00D37178">
        <w:rPr>
          <w:color w:val="000000"/>
          <w:sz w:val="28"/>
          <w:szCs w:val="28"/>
        </w:rPr>
        <w:tab/>
      </w:r>
      <w:r w:rsidR="004525FD" w:rsidRPr="00D37178">
        <w:rPr>
          <w:color w:val="000000"/>
          <w:sz w:val="28"/>
          <w:szCs w:val="28"/>
        </w:rPr>
        <w:t>4. Ступінь ризику, визначений учасником Фондує власністю банку та надається Фонду.</w:t>
      </w:r>
      <w:r w:rsidRPr="00D37178">
        <w:rPr>
          <w:color w:val="000000"/>
          <w:sz w:val="28"/>
          <w:szCs w:val="28"/>
        </w:rPr>
        <w:tab/>
      </w:r>
    </w:p>
    <w:p w:rsidR="004525FD" w:rsidRPr="00D37178" w:rsidRDefault="00C14BCC" w:rsidP="004525FD">
      <w:pPr>
        <w:pStyle w:val="BodyTextIndent"/>
        <w:widowControl w:val="0"/>
        <w:spacing w:before="120" w:after="0"/>
        <w:ind w:left="0"/>
        <w:jc w:val="both"/>
        <w:rPr>
          <w:rStyle w:val="longtext"/>
          <w:color w:val="000000"/>
          <w:sz w:val="28"/>
          <w:szCs w:val="28"/>
        </w:rPr>
      </w:pPr>
      <w:r w:rsidRPr="00D37178">
        <w:rPr>
          <w:color w:val="000000"/>
          <w:sz w:val="28"/>
          <w:szCs w:val="28"/>
        </w:rPr>
        <w:tab/>
      </w:r>
      <w:r w:rsidR="004525FD" w:rsidRPr="00D37178">
        <w:rPr>
          <w:rStyle w:val="longtext"/>
          <w:sz w:val="28"/>
          <w:szCs w:val="28"/>
          <w:shd w:val="clear" w:color="auto" w:fill="FFFFFF"/>
        </w:rPr>
        <w:t>Банк має право використовувати інформацію щодо ступеню ризику на власний розсуд.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</w:r>
      <w:r w:rsidR="00BC0F63" w:rsidRPr="00D37178">
        <w:rPr>
          <w:sz w:val="28"/>
          <w:szCs w:val="28"/>
        </w:rPr>
        <w:t>5</w:t>
      </w:r>
      <w:r w:rsidR="004525FD" w:rsidRPr="00D37178">
        <w:rPr>
          <w:sz w:val="28"/>
          <w:szCs w:val="28"/>
        </w:rPr>
        <w:t>. Розрахунок регулярного збору у формі диференційованого збору за звітний квартал обчислюється учасником Фонду за такою формулою:</w:t>
      </w:r>
    </w:p>
    <w:tbl>
      <w:tblPr>
        <w:tblW w:w="648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9"/>
        <w:gridCol w:w="858"/>
        <w:gridCol w:w="3863"/>
        <w:gridCol w:w="880"/>
      </w:tblGrid>
      <w:tr w:rsidR="004525FD" w:rsidRPr="00D37178" w:rsidTr="00FF0DBE">
        <w:trPr>
          <w:tblCellSpacing w:w="22" w:type="dxa"/>
        </w:trPr>
        <w:tc>
          <w:tcPr>
            <w:tcW w:w="650" w:type="pct"/>
            <w:vAlign w:val="center"/>
            <w:hideMark/>
          </w:tcPr>
          <w:p w:rsidR="004525FD" w:rsidRPr="00D37178" w:rsidRDefault="004525FD" w:rsidP="00FF0DBE">
            <w:pPr>
              <w:pStyle w:val="a5"/>
              <w:jc w:val="right"/>
              <w:rPr>
                <w:sz w:val="28"/>
                <w:szCs w:val="28"/>
              </w:rPr>
            </w:pPr>
            <w:r w:rsidRPr="00D37178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4525FD" w:rsidRPr="00D37178" w:rsidRDefault="004525FD" w:rsidP="00FF0DBE">
            <w:pPr>
              <w:pStyle w:val="a5"/>
              <w:jc w:val="right"/>
              <w:rPr>
                <w:sz w:val="28"/>
                <w:szCs w:val="28"/>
              </w:rPr>
            </w:pPr>
            <w:r w:rsidRPr="00D37178">
              <w:rPr>
                <w:sz w:val="28"/>
                <w:szCs w:val="28"/>
              </w:rPr>
              <w:t>РЗД =</w:t>
            </w:r>
          </w:p>
        </w:tc>
        <w:tc>
          <w:tcPr>
            <w:tcW w:w="3050" w:type="pct"/>
            <w:hideMark/>
          </w:tcPr>
          <w:p w:rsidR="004525FD" w:rsidRPr="00D37178" w:rsidRDefault="004525FD" w:rsidP="00FF0DBE">
            <w:pPr>
              <w:pStyle w:val="a5"/>
              <w:jc w:val="center"/>
              <w:rPr>
                <w:sz w:val="28"/>
                <w:szCs w:val="28"/>
              </w:rPr>
            </w:pPr>
            <w:r w:rsidRPr="00D37178">
              <w:rPr>
                <w:sz w:val="28"/>
                <w:szCs w:val="28"/>
              </w:rPr>
              <w:t>(</w:t>
            </w:r>
            <w:proofErr w:type="spellStart"/>
            <w:r w:rsidRPr="00D37178">
              <w:rPr>
                <w:sz w:val="28"/>
                <w:szCs w:val="28"/>
              </w:rPr>
              <w:t>Бг</w:t>
            </w:r>
            <w:proofErr w:type="spellEnd"/>
            <w:r w:rsidRPr="00D37178">
              <w:rPr>
                <w:sz w:val="28"/>
                <w:szCs w:val="28"/>
              </w:rPr>
              <w:t xml:space="preserve"> х С</w:t>
            </w:r>
            <w:r w:rsidRPr="00D37178">
              <w:rPr>
                <w:sz w:val="28"/>
                <w:szCs w:val="28"/>
                <w:vertAlign w:val="subscript"/>
              </w:rPr>
              <w:t xml:space="preserve"> 1</w:t>
            </w:r>
            <w:r w:rsidRPr="00D37178">
              <w:rPr>
                <w:sz w:val="28"/>
                <w:szCs w:val="28"/>
              </w:rPr>
              <w:t xml:space="preserve"> х СР + </w:t>
            </w:r>
            <w:proofErr w:type="spellStart"/>
            <w:r w:rsidRPr="00D37178">
              <w:rPr>
                <w:sz w:val="28"/>
                <w:szCs w:val="28"/>
              </w:rPr>
              <w:t>Бв</w:t>
            </w:r>
            <w:proofErr w:type="spellEnd"/>
            <w:r w:rsidRPr="00D37178">
              <w:rPr>
                <w:sz w:val="28"/>
                <w:szCs w:val="28"/>
              </w:rPr>
              <w:t xml:space="preserve"> х С</w:t>
            </w:r>
            <w:r w:rsidRPr="00D37178">
              <w:rPr>
                <w:sz w:val="28"/>
                <w:szCs w:val="28"/>
                <w:vertAlign w:val="subscript"/>
              </w:rPr>
              <w:t xml:space="preserve"> 2</w:t>
            </w:r>
            <w:r w:rsidRPr="00D37178">
              <w:rPr>
                <w:sz w:val="28"/>
                <w:szCs w:val="28"/>
              </w:rPr>
              <w:t xml:space="preserve"> х СР)</w:t>
            </w:r>
            <w:r w:rsidRPr="00D37178">
              <w:rPr>
                <w:sz w:val="28"/>
                <w:szCs w:val="28"/>
              </w:rPr>
              <w:br/>
            </w:r>
            <w:r w:rsidRPr="00D37178">
              <w:rPr>
                <w:sz w:val="28"/>
                <w:szCs w:val="28"/>
                <w:vertAlign w:val="superscript"/>
              </w:rPr>
              <w:t>________________________________________</w:t>
            </w:r>
            <w:r w:rsidRPr="00D37178">
              <w:rPr>
                <w:sz w:val="28"/>
                <w:szCs w:val="28"/>
                <w:vertAlign w:val="superscript"/>
              </w:rPr>
              <w:br/>
            </w:r>
            <w:r w:rsidRPr="00D37178">
              <w:rPr>
                <w:sz w:val="28"/>
                <w:szCs w:val="28"/>
              </w:rPr>
              <w:t>К</w:t>
            </w:r>
          </w:p>
        </w:tc>
        <w:tc>
          <w:tcPr>
            <w:tcW w:w="650" w:type="pct"/>
            <w:vAlign w:val="center"/>
            <w:hideMark/>
          </w:tcPr>
          <w:p w:rsidR="004525FD" w:rsidRPr="00D37178" w:rsidRDefault="004525FD" w:rsidP="00FF0DBE">
            <w:pPr>
              <w:pStyle w:val="a5"/>
              <w:jc w:val="both"/>
              <w:rPr>
                <w:sz w:val="28"/>
                <w:szCs w:val="28"/>
              </w:rPr>
            </w:pPr>
            <w:r w:rsidRPr="00D37178">
              <w:rPr>
                <w:sz w:val="28"/>
                <w:szCs w:val="28"/>
              </w:rPr>
              <w:t>х n,</w:t>
            </w:r>
          </w:p>
        </w:tc>
      </w:tr>
    </w:tbl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</w:r>
      <w:r w:rsidR="004525FD" w:rsidRPr="00D37178">
        <w:rPr>
          <w:sz w:val="28"/>
          <w:szCs w:val="28"/>
        </w:rPr>
        <w:t>де: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РЗД –</w:t>
      </w:r>
      <w:r w:rsidR="004525FD" w:rsidRPr="00D37178">
        <w:rPr>
          <w:sz w:val="28"/>
          <w:szCs w:val="28"/>
        </w:rPr>
        <w:t xml:space="preserve"> сума регулярного збору у формі диференційованого збору за звітний квартал;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</w:r>
      <w:proofErr w:type="spellStart"/>
      <w:r w:rsidR="004525FD" w:rsidRPr="00D37178">
        <w:rPr>
          <w:sz w:val="28"/>
          <w:szCs w:val="28"/>
        </w:rPr>
        <w:t>Бг</w:t>
      </w:r>
      <w:proofErr w:type="spellEnd"/>
      <w:r w:rsidRPr="00D37178">
        <w:rPr>
          <w:sz w:val="28"/>
          <w:szCs w:val="28"/>
        </w:rPr>
        <w:t xml:space="preserve"> –</w:t>
      </w:r>
      <w:r w:rsidR="004525FD" w:rsidRPr="00D37178">
        <w:rPr>
          <w:sz w:val="28"/>
          <w:szCs w:val="28"/>
        </w:rPr>
        <w:t xml:space="preserve"> база нарахування за вкладами в національній валюті за розрахунковий період, що розраховується відповідно до пункту 4.1 розділу III цього Положення;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lastRenderedPageBreak/>
        <w:tab/>
      </w:r>
      <w:proofErr w:type="spellStart"/>
      <w:r w:rsidRPr="00D37178">
        <w:rPr>
          <w:sz w:val="28"/>
          <w:szCs w:val="28"/>
        </w:rPr>
        <w:t>Бв</w:t>
      </w:r>
      <w:proofErr w:type="spellEnd"/>
      <w:r w:rsidRPr="00D37178">
        <w:rPr>
          <w:sz w:val="28"/>
          <w:szCs w:val="28"/>
        </w:rPr>
        <w:t xml:space="preserve"> –</w:t>
      </w:r>
      <w:r w:rsidR="004525FD" w:rsidRPr="00D37178">
        <w:rPr>
          <w:sz w:val="28"/>
          <w:szCs w:val="28"/>
        </w:rPr>
        <w:t xml:space="preserve"> база нарахування за вкладами в іноземній валюті за розрахунковий період, що розраховується відповідно до пункту 4.2 розділу III цього Положення;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С1 –</w:t>
      </w:r>
      <w:r w:rsidR="004525FD" w:rsidRPr="00D37178">
        <w:rPr>
          <w:sz w:val="28"/>
          <w:szCs w:val="28"/>
        </w:rPr>
        <w:t xml:space="preserve"> річна базова ставка регулярного збору в національній валюті у відсотках;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С2 –</w:t>
      </w:r>
      <w:r w:rsidR="004525FD" w:rsidRPr="00D37178">
        <w:rPr>
          <w:sz w:val="28"/>
          <w:szCs w:val="28"/>
        </w:rPr>
        <w:t xml:space="preserve"> річна базова ставка регулярного збору в іноземній валюті у відсотках;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СР –</w:t>
      </w:r>
      <w:r w:rsidR="004525FD" w:rsidRPr="00D37178">
        <w:rPr>
          <w:sz w:val="28"/>
          <w:szCs w:val="28"/>
        </w:rPr>
        <w:t xml:space="preserve"> ступінь ризику, на який зважується базова річна ставка в національній та іноземній валюті;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n –</w:t>
      </w:r>
      <w:r w:rsidR="004525FD" w:rsidRPr="00D37178">
        <w:rPr>
          <w:sz w:val="28"/>
          <w:szCs w:val="28"/>
        </w:rPr>
        <w:t xml:space="preserve"> кількість календарних днів у звітному кварталі;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  <w:t>К –</w:t>
      </w:r>
      <w:r w:rsidR="004525FD" w:rsidRPr="00D37178">
        <w:rPr>
          <w:sz w:val="28"/>
          <w:szCs w:val="28"/>
        </w:rPr>
        <w:t xml:space="preserve"> кількість календарних днів у поточному році.</w:t>
      </w:r>
    </w:p>
    <w:p w:rsidR="004525FD" w:rsidRPr="00D37178" w:rsidRDefault="00C14BCC" w:rsidP="004525FD">
      <w:pPr>
        <w:pStyle w:val="a5"/>
        <w:jc w:val="both"/>
        <w:rPr>
          <w:sz w:val="28"/>
          <w:szCs w:val="28"/>
        </w:rPr>
      </w:pPr>
      <w:r w:rsidRPr="00D37178">
        <w:rPr>
          <w:sz w:val="28"/>
          <w:szCs w:val="28"/>
        </w:rPr>
        <w:tab/>
      </w:r>
      <w:r w:rsidR="004525FD" w:rsidRPr="00D37178">
        <w:rPr>
          <w:sz w:val="28"/>
          <w:szCs w:val="28"/>
        </w:rPr>
        <w:t>Розрахована сума регулярного збору у формі диференційованого збору округлюється з точністю до копійок за арифметичними правилами.</w:t>
      </w:r>
    </w:p>
    <w:p w:rsidR="004525FD" w:rsidRPr="00D37178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 w:rsidRPr="00D37178">
        <w:rPr>
          <w:rFonts w:ascii="Times New Roman" w:hAnsi="Times New Roman"/>
          <w:b w:val="0"/>
          <w:color w:val="auto"/>
        </w:rPr>
        <w:tab/>
      </w:r>
      <w:r w:rsidR="00BC0F63" w:rsidRPr="00D37178">
        <w:rPr>
          <w:rFonts w:ascii="Times New Roman" w:hAnsi="Times New Roman"/>
          <w:b w:val="0"/>
          <w:color w:val="auto"/>
        </w:rPr>
        <w:t>6</w:t>
      </w:r>
      <w:r w:rsidR="004525FD" w:rsidRPr="00D37178">
        <w:rPr>
          <w:rFonts w:ascii="Times New Roman" w:hAnsi="Times New Roman"/>
          <w:b w:val="0"/>
          <w:color w:val="auto"/>
        </w:rPr>
        <w:t>. У строк до 10 числа місяця, наступного за звітним кварталом, учасник Фонду надає розрахунок суми регулярного збору у формі диференційованого збору, що підлягає сплаті до Фонду гарантування вкладів фізичних осіб, за формою, наведеною у додатку 3 до цього Положення.</w:t>
      </w:r>
    </w:p>
    <w:p w:rsidR="004525FD" w:rsidRPr="00D37178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 w:rsidRPr="00D37178">
        <w:rPr>
          <w:rFonts w:ascii="Times New Roman" w:hAnsi="Times New Roman"/>
          <w:b w:val="0"/>
          <w:color w:val="auto"/>
        </w:rPr>
        <w:tab/>
      </w:r>
      <w:r w:rsidR="004525FD" w:rsidRPr="00D37178">
        <w:rPr>
          <w:rFonts w:ascii="Times New Roman" w:hAnsi="Times New Roman"/>
          <w:b w:val="0"/>
          <w:color w:val="auto"/>
        </w:rPr>
        <w:t>Якщо останній день строку подання розрахунку регулярного збору у формі диференційованого збору припадає на вихідний, святковий чи інший неробочий день, останнім днем подання розрахунку вважається перший після нього робочий день.</w:t>
      </w:r>
    </w:p>
    <w:p w:rsidR="004525FD" w:rsidRPr="00D37178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 w:rsidRPr="00D37178">
        <w:rPr>
          <w:rFonts w:ascii="Times New Roman" w:hAnsi="Times New Roman"/>
          <w:b w:val="0"/>
          <w:color w:val="auto"/>
        </w:rPr>
        <w:tab/>
      </w:r>
      <w:r w:rsidR="004525FD" w:rsidRPr="00D37178">
        <w:rPr>
          <w:rFonts w:ascii="Times New Roman" w:hAnsi="Times New Roman"/>
          <w:b w:val="0"/>
          <w:color w:val="auto"/>
        </w:rPr>
        <w:t>Розрахунок регулярного збору у формі диференційованого збору подається в електронному вигляді відповідно до встановлених Фондом правил надання звітності учасниками Фонду гарантування вкладів фізичних осіб.</w:t>
      </w:r>
    </w:p>
    <w:p w:rsidR="004525FD" w:rsidRPr="00D37178" w:rsidRDefault="00C14BCC" w:rsidP="004525FD">
      <w:pPr>
        <w:pStyle w:val="3"/>
        <w:jc w:val="both"/>
        <w:rPr>
          <w:rFonts w:ascii="Times New Roman" w:hAnsi="Times New Roman"/>
          <w:b w:val="0"/>
          <w:color w:val="auto"/>
        </w:rPr>
      </w:pPr>
      <w:r w:rsidRPr="00D37178">
        <w:rPr>
          <w:rFonts w:ascii="Times New Roman" w:hAnsi="Times New Roman"/>
          <w:b w:val="0"/>
          <w:color w:val="auto"/>
        </w:rPr>
        <w:tab/>
      </w:r>
      <w:r w:rsidR="004525FD" w:rsidRPr="00D37178">
        <w:rPr>
          <w:rFonts w:ascii="Times New Roman" w:hAnsi="Times New Roman"/>
          <w:b w:val="0"/>
          <w:color w:val="auto"/>
        </w:rPr>
        <w:t>У разі прийняття Національним банком України рішення про перенесення строків подання звітності банками до Національного банку України Фонд має право рішенням виконавчої дирекції Фонду перенести строк подання розрахунку регулярного збору у формі диференційованого збору до Фонду.</w:t>
      </w:r>
    </w:p>
    <w:p w:rsidR="004525FD" w:rsidRPr="00D37178" w:rsidRDefault="004525FD" w:rsidP="004525FD">
      <w:pPr>
        <w:pStyle w:val="3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4525FD" w:rsidRDefault="00C14BCC" w:rsidP="004525FD">
      <w:pPr>
        <w:pStyle w:val="3"/>
        <w:spacing w:before="0"/>
        <w:jc w:val="both"/>
        <w:rPr>
          <w:rFonts w:ascii="Times New Roman" w:hAnsi="Times New Roman"/>
          <w:b w:val="0"/>
          <w:color w:val="auto"/>
        </w:rPr>
      </w:pPr>
      <w:r w:rsidRPr="00D37178">
        <w:rPr>
          <w:rFonts w:ascii="Times New Roman" w:hAnsi="Times New Roman"/>
          <w:b w:val="0"/>
          <w:color w:val="auto"/>
        </w:rPr>
        <w:tab/>
      </w:r>
      <w:r w:rsidR="00BC0F63" w:rsidRPr="00D37178">
        <w:rPr>
          <w:rFonts w:ascii="Times New Roman" w:hAnsi="Times New Roman"/>
          <w:b w:val="0"/>
          <w:color w:val="auto"/>
        </w:rPr>
        <w:t>7</w:t>
      </w:r>
      <w:r w:rsidR="004525FD" w:rsidRPr="00D37178">
        <w:rPr>
          <w:rFonts w:ascii="Times New Roman" w:hAnsi="Times New Roman"/>
          <w:b w:val="0"/>
          <w:color w:val="auto"/>
        </w:rPr>
        <w:t>. Сплата регулярного</w:t>
      </w:r>
      <w:r w:rsidR="004525FD" w:rsidRPr="006B0572">
        <w:rPr>
          <w:rFonts w:ascii="Times New Roman" w:hAnsi="Times New Roman"/>
          <w:b w:val="0"/>
          <w:color w:val="auto"/>
        </w:rPr>
        <w:t xml:space="preserve"> збору у формі диференційованого збору здійснюється відповідно до пункт</w:t>
      </w:r>
      <w:r w:rsidR="006C2307">
        <w:rPr>
          <w:rFonts w:ascii="Times New Roman" w:hAnsi="Times New Roman"/>
          <w:b w:val="0"/>
          <w:color w:val="auto"/>
        </w:rPr>
        <w:t>у 7 розділу III цього Положення.</w:t>
      </w:r>
      <w:r w:rsidR="004525FD" w:rsidRPr="006B0572">
        <w:rPr>
          <w:rFonts w:ascii="Times New Roman" w:hAnsi="Times New Roman"/>
          <w:b w:val="0"/>
          <w:color w:val="auto"/>
        </w:rPr>
        <w:t>»;</w:t>
      </w:r>
    </w:p>
    <w:p w:rsidR="002E415D" w:rsidRPr="002E415D" w:rsidRDefault="002E415D" w:rsidP="002E415D">
      <w:pPr>
        <w:spacing w:after="0"/>
        <w:rPr>
          <w:lang w:eastAsia="ru-RU"/>
        </w:rPr>
      </w:pPr>
    </w:p>
    <w:p w:rsidR="004525FD" w:rsidRPr="00D37178" w:rsidRDefault="004525FD" w:rsidP="002E415D">
      <w:pPr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lang w:eastAsia="ru-RU"/>
        </w:rPr>
        <w:tab/>
      </w:r>
      <w:r w:rsidR="00C14BCC" w:rsidRPr="00D37178">
        <w:rPr>
          <w:rFonts w:ascii="Times New Roman" w:eastAsia="Times New Roman" w:hAnsi="Times New Roman"/>
          <w:sz w:val="28"/>
          <w:szCs w:val="28"/>
          <w:lang w:eastAsia="uk-UA"/>
        </w:rPr>
        <w:t>3.  Доповнити Положення новим</w:t>
      </w: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 xml:space="preserve"> додатк</w:t>
      </w:r>
      <w:r w:rsidR="00C14BCC" w:rsidRPr="00D37178">
        <w:rPr>
          <w:rFonts w:ascii="Times New Roman" w:eastAsia="Times New Roman" w:hAnsi="Times New Roman"/>
          <w:sz w:val="28"/>
          <w:szCs w:val="28"/>
          <w:lang w:eastAsia="uk-UA"/>
        </w:rPr>
        <w:t>ом</w:t>
      </w: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 xml:space="preserve"> 4</w:t>
      </w:r>
      <w:r w:rsidR="00C14BCC" w:rsidRPr="00D37178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>що дода</w:t>
      </w:r>
      <w:r w:rsidR="00C14BCC" w:rsidRPr="00D37178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D37178">
        <w:rPr>
          <w:rFonts w:ascii="Times New Roman" w:eastAsia="Times New Roman" w:hAnsi="Times New Roman"/>
          <w:sz w:val="28"/>
          <w:szCs w:val="28"/>
          <w:lang w:eastAsia="uk-UA"/>
        </w:rPr>
        <w:t xml:space="preserve">ться. </w:t>
      </w:r>
    </w:p>
    <w:p w:rsidR="004525FD" w:rsidRPr="00D37178" w:rsidRDefault="002E415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В.о</w:t>
      </w:r>
      <w:proofErr w:type="spellEnd"/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. д</w:t>
      </w:r>
      <w:r w:rsidR="004525FD"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иректор</w:t>
      </w: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а</w:t>
      </w:r>
      <w:r w:rsidR="004525FD"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департаменту </w:t>
      </w:r>
    </w:p>
    <w:p w:rsidR="004525FD" w:rsidRPr="00D37178" w:rsidRDefault="004525FD" w:rsidP="0045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дистанційного та інспекційного</w:t>
      </w:r>
    </w:p>
    <w:p w:rsidR="006443DC" w:rsidRDefault="004525FD" w:rsidP="00C1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моніторингу діяльності банків</w:t>
      </w: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2E415D" w:rsidRPr="00D37178">
        <w:rPr>
          <w:rFonts w:ascii="Times New Roman" w:eastAsia="Times New Roman" w:hAnsi="Times New Roman"/>
          <w:b/>
          <w:sz w:val="28"/>
          <w:szCs w:val="28"/>
          <w:lang w:eastAsia="uk-UA"/>
        </w:rPr>
        <w:t>Т.Р. Комареус</w:t>
      </w:r>
    </w:p>
    <w:p w:rsidR="00BC0F63" w:rsidRDefault="00BC0F63" w:rsidP="00C1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  <w:sectPr w:rsidR="00BC0F63" w:rsidSect="00C82C70">
          <w:headerReference w:type="default" r:id="rId10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F55CAF" w:rsidRPr="000620B0" w:rsidRDefault="00F55CAF" w:rsidP="00F55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sz w:val="24"/>
          <w:szCs w:val="24"/>
        </w:rPr>
        <w:lastRenderedPageBreak/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4"/>
          <w:szCs w:val="24"/>
        </w:rPr>
        <w:tab/>
      </w:r>
      <w:r w:rsidRPr="000620B0">
        <w:rPr>
          <w:rFonts w:ascii="Times New Roman" w:hAnsi="Times New Roman"/>
          <w:sz w:val="28"/>
          <w:szCs w:val="28"/>
        </w:rPr>
        <w:t xml:space="preserve">Додаток 4 </w:t>
      </w:r>
    </w:p>
    <w:p w:rsidR="00F55CAF" w:rsidRPr="000620B0" w:rsidRDefault="00F55CAF" w:rsidP="00F55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 xml:space="preserve">до Положення про порядок розрахунку, </w:t>
      </w:r>
    </w:p>
    <w:p w:rsidR="00BC0F63" w:rsidRDefault="00F55CAF" w:rsidP="00F55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 xml:space="preserve">нарахування і сплати зборів до Фонду </w:t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>гарантування вкладів фізичних осіб </w:t>
      </w:r>
    </w:p>
    <w:p w:rsidR="00F55CAF" w:rsidRPr="000620B0" w:rsidRDefault="00BC0F63" w:rsidP="00BC0F6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37178">
        <w:rPr>
          <w:rFonts w:ascii="Times New Roman" w:hAnsi="Times New Roman"/>
          <w:sz w:val="28"/>
          <w:szCs w:val="28"/>
        </w:rPr>
        <w:t>(пункт 1 розділу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</w:t>
      </w:r>
    </w:p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  <w:r w:rsidRPr="000620B0">
        <w:rPr>
          <w:rFonts w:ascii="Times New Roman" w:hAnsi="Times New Roman"/>
          <w:b/>
          <w:sz w:val="24"/>
          <w:szCs w:val="24"/>
        </w:rPr>
        <w:tab/>
      </w:r>
    </w:p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</w:r>
      <w:r w:rsidRPr="000620B0">
        <w:rPr>
          <w:rFonts w:ascii="Times New Roman" w:hAnsi="Times New Roman"/>
          <w:sz w:val="28"/>
          <w:szCs w:val="28"/>
        </w:rPr>
        <w:tab/>
        <w:t xml:space="preserve">Таблиця 1 </w:t>
      </w:r>
    </w:p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B0">
        <w:rPr>
          <w:rFonts w:ascii="Times New Roman" w:hAnsi="Times New Roman"/>
          <w:b/>
          <w:sz w:val="28"/>
          <w:szCs w:val="28"/>
        </w:rPr>
        <w:t>Перелік кількісних індикаторів</w:t>
      </w:r>
    </w:p>
    <w:p w:rsidR="00F55CAF" w:rsidRPr="000620B0" w:rsidRDefault="00F55CAF" w:rsidP="00F55CA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"/>
        <w:gridCol w:w="1487"/>
        <w:gridCol w:w="8559"/>
        <w:gridCol w:w="30"/>
      </w:tblGrid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Індикатор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Групи показників </w:t>
            </w: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Капітал (вага – 5%)</w:t>
            </w: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К1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Норматив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достатності (</w:t>
            </w: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>адекватності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)регулятивного </w:t>
            </w: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>капіталу (Н2)відповідно до вимог Національного банку України.</w:t>
            </w:r>
          </w:p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Розрахунок складових показника здійснюється на підставі нормативно-правових актів Національного банку України.</w:t>
            </w: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К2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Показник співвідношення статутного капіталу банку до регулятивного капіталу – визначається як співвідношення статутного капіталу банку до регулятивного капіталу.</w:t>
            </w:r>
          </w:p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Розрахунок складових показника здійснюється на підставі нормативно-правових актів Національного банку України. </w:t>
            </w: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86" w:lineRule="atLeast"/>
              <w:jc w:val="center"/>
              <w:textAlignment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Якість активів (вага – 50%)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ЯА1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Показник частки недоходних активів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сукупних 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>активах – співвідношення активів, що включають дебіторську заборгованість, нараховані відсотки, прострочену заборгованість</w:t>
            </w:r>
            <w:r w:rsidRPr="009F2D77">
              <w:rPr>
                <w:rFonts w:ascii="Times New Roman" w:hAnsi="Times New Roman"/>
                <w:bCs/>
                <w:sz w:val="28"/>
                <w:szCs w:val="28"/>
              </w:rPr>
              <w:t xml:space="preserve"> за кредитами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F2D77">
              <w:rPr>
                <w:rFonts w:ascii="Times New Roman" w:hAnsi="Times New Roman"/>
                <w:bCs/>
                <w:sz w:val="28"/>
                <w:szCs w:val="28"/>
              </w:rPr>
              <w:t>що надані клієнтам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у тому числі банкам</w:t>
            </w:r>
            <w:r w:rsidR="007876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(до розрахунку включаються також кошти, що розміщені в банках, які визнані банкротами або ліквідуються за рішенням уповноважених органів, або в яких призначена тимчасова адміністрація, або які зареєстровані в офшорних зонах), 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>майно, яке перейшло у власність банку як заставодержателя, основні засоб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A01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06F3C">
              <w:rPr>
                <w:rFonts w:ascii="Times New Roman" w:hAnsi="Times New Roman"/>
                <w:bCs/>
                <w:sz w:val="28"/>
                <w:szCs w:val="28"/>
              </w:rPr>
              <w:t>(крім інвестиційної нерухомості) до загальних активів банку.</w:t>
            </w:r>
          </w:p>
          <w:p w:rsidR="00CC1108" w:rsidRPr="009F2D77" w:rsidRDefault="00CC1108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ЯА2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sz w:val="28"/>
                <w:szCs w:val="28"/>
              </w:rPr>
              <w:tab/>
              <w:t>Показник покриття резервами простроченої заборгованості</w:t>
            </w:r>
            <w:r w:rsidR="00650C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кредитами, що надані клієнтам,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 xml:space="preserve">– співвідношення резервів, сформованих банком під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заборгованість за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кредит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надан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клієнтам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цієї </w:t>
            </w:r>
            <w:r w:rsidRPr="000620B0">
              <w:rPr>
                <w:rFonts w:ascii="Times New Roman" w:hAnsi="Times New Roman"/>
                <w:sz w:val="28"/>
                <w:szCs w:val="28"/>
              </w:rPr>
              <w:t>простроченої заборгованості.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ЯА3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022381" w:rsidP="008C6E9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Показник частки цінних паперів</w:t>
            </w:r>
            <w:r w:rsidR="00F55CAF" w:rsidRPr="000620B0">
              <w:rPr>
                <w:rFonts w:ascii="Times New Roman" w:hAnsi="Times New Roman"/>
                <w:bCs/>
                <w:sz w:val="28"/>
                <w:szCs w:val="28"/>
              </w:rPr>
              <w:t xml:space="preserve"> (крім  державних цінних паперів, у тому числі депозитних сертифікатів Національного банку України)</w:t>
            </w:r>
            <w:r w:rsidR="00F55CAF" w:rsidRPr="000620B0">
              <w:rPr>
                <w:rFonts w:ascii="Times New Roman" w:hAnsi="Times New Roman"/>
                <w:sz w:val="28"/>
                <w:szCs w:val="28"/>
              </w:rPr>
              <w:t>– спів</w:t>
            </w:r>
            <w:r w:rsidR="00F55CAF">
              <w:rPr>
                <w:rFonts w:ascii="Times New Roman" w:hAnsi="Times New Roman"/>
                <w:sz w:val="28"/>
                <w:szCs w:val="28"/>
              </w:rPr>
              <w:t>в</w:t>
            </w:r>
            <w:r w:rsidR="00F55CAF" w:rsidRPr="000620B0">
              <w:rPr>
                <w:rFonts w:ascii="Times New Roman" w:hAnsi="Times New Roman"/>
                <w:sz w:val="28"/>
                <w:szCs w:val="28"/>
              </w:rPr>
              <w:t>ідношення цінних паперів банку (крім державних цінних паперів,</w:t>
            </w:r>
            <w:r w:rsidR="00F55CAF" w:rsidRPr="000620B0">
              <w:rPr>
                <w:rFonts w:ascii="Times New Roman" w:hAnsi="Times New Roman"/>
                <w:bCs/>
                <w:sz w:val="28"/>
                <w:szCs w:val="28"/>
              </w:rPr>
              <w:t xml:space="preserve"> у тому числі депозитних сертифікатів Національного банку України</w:t>
            </w:r>
            <w:r w:rsidR="00F55CAF" w:rsidRPr="000620B0">
              <w:rPr>
                <w:rFonts w:ascii="Times New Roman" w:hAnsi="Times New Roman"/>
                <w:sz w:val="28"/>
                <w:szCs w:val="28"/>
              </w:rPr>
              <w:t>) до загальних активів.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Ліквідність (вага – 20%)</w:t>
            </w: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  <w:t>Л1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kern w:val="24"/>
                <w:sz w:val="28"/>
                <w:szCs w:val="28"/>
                <w:lang w:eastAsia="ru-RU"/>
              </w:rPr>
              <w:tab/>
              <w:t>Норматив миттєвої ліквідності (Н4</w:t>
            </w:r>
            <w:r w:rsidRPr="000620B0"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  <w:t>) відповідно до вимог нормативн</w:t>
            </w:r>
            <w:r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  <w:t xml:space="preserve">о-правових актів </w:t>
            </w:r>
            <w:r w:rsidRPr="000620B0">
              <w:rPr>
                <w:rFonts w:ascii="Times New Roman" w:eastAsia="Batang" w:hAnsi="Times New Roman"/>
                <w:kern w:val="24"/>
                <w:sz w:val="28"/>
                <w:szCs w:val="28"/>
                <w:lang w:eastAsia="ru-RU"/>
              </w:rPr>
              <w:t>Національного банку України.</w:t>
            </w:r>
          </w:p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ab/>
              <w:t>Розрахунок складових показника здійснюється на підставі нормативно-правових актів Національного банку України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Л2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 xml:space="preserve">Показник ліквідних активів в </w:t>
            </w:r>
            <w:r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сукупних </w:t>
            </w:r>
            <w:proofErr w:type="spellStart"/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активах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–</w:t>
            </w:r>
            <w:proofErr w:type="spellEnd"/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співвідношення  ліквідних активів (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кошти в касі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кошти на кореспондентському рахунку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Національному банку України,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коррахунки в інших банках, необтяжені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державні цінні папери</w:t>
            </w:r>
            <w:r w:rsidR="002508A6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(у тому числі депозитні сертифікати Національного банку України) до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сукупних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активів.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Л3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2508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Показник швидкої ліквідності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співвідношення ліквідних активів (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кошти в касі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кошти на кореспондентському рахунку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Національному банку України,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активне сальдо за коштами на к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ореспондентськ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их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рахунк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ах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, що відкриті в інших банках (за виключенням коштів, що розміщені в банках, які визнані банкротами або ліквідуються за рішенням уповноважених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органів, або в яких призначена тимчасова адміністрація, або які зареєстровані в офшорних зонах), 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активне сальдо за коштами «</w:t>
            </w:r>
            <w:proofErr w:type="spellStart"/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овернайт</w:t>
            </w:r>
            <w:proofErr w:type="spellEnd"/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», необтяжені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державні цінні папери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в тому числі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депозитні сертифікати Н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аціонального банку України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), до </w:t>
            </w:r>
            <w:r w:rsidRPr="00D06F3C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коштів</w:t>
            </w:r>
            <w:r w:rsidR="002508A6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D06F3C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на вимогу (кошти фізичних,</w:t>
            </w:r>
            <w:r w:rsidRPr="006F2D1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та юридичних осіб, у тому числі  банків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(пасивне сальдо за коштами на </w:t>
            </w:r>
            <w:r w:rsidRPr="009F2D77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кореспондентських рахунках інших банків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Pr="006F2D1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E06278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Ефективність діяльності (вага – 20%)</w:t>
            </w:r>
          </w:p>
        </w:tc>
        <w:tc>
          <w:tcPr>
            <w:tcW w:w="30" w:type="dxa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textAlignment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Показник ефективності діяльності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співвідношення загальних адміністративних витрат до чистого операційного доходу.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341620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55CAF" w:rsidRPr="000620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Е2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22381" w:rsidRDefault="00F55CAF" w:rsidP="0002238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 xml:space="preserve">Чиста процентна маржа –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співвідношення чистого процентного доходу банку до чистих активів.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Е3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Показник витрат до доходів банку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– співвідношення сукупних витрат банку до су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ку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пних доходів.</w:t>
            </w:r>
          </w:p>
        </w:tc>
      </w:tr>
      <w:tr w:rsidR="00F55CAF" w:rsidRPr="000620B0" w:rsidTr="00022381">
        <w:trPr>
          <w:gridAfter w:val="1"/>
          <w:wAfter w:w="30" w:type="dxa"/>
          <w:tblHeader/>
        </w:trPr>
        <w:tc>
          <w:tcPr>
            <w:tcW w:w="0" w:type="auto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textAlignment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Якість управління пасивами (вага – 5%)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Розмір середньозваженої процентної ставки за залученими вкладами фізичних осіб.</w:t>
            </w:r>
          </w:p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ab/>
              <w:t>Середньозважена процентна ставка за залученими вкладами фізичних осіб розраховується відповідно до вимог форми № 350Д "Звіт про суми і вартість депозитів (у процентах річних)"</w:t>
            </w:r>
            <w:r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що визначена нормативно-правовим актом Національного банку України щодо </w:t>
            </w: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організації статистичної звітності, що подається до Національного банку України, окремо по вкладах в національній та іноземній валютах за звітний квартал. 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B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  <w:t>П2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5CAF" w:rsidRPr="00D35B4B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35B4B"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ab/>
              <w:t>Співвідношення середньоарифметичних залишків за вкладами фізичних осіб до середньоарифметичних залишків пасивів (ощадність банку).</w:t>
            </w:r>
          </w:p>
          <w:p w:rsidR="00F55CAF" w:rsidRPr="00D35B4B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5B4B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ab/>
              <w:t>Ощадність банку розраховується у відсотках як співвідношення середньоарифметичних залишків щоденних балансових рахунків з обліку вкладів фізичних осіб до середньоарифметичних залишків щоденних балансових рахунків з обліку пасивів банку за останні 90 календарних днів поспіль.</w:t>
            </w:r>
          </w:p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5B4B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ab/>
              <w:t>Перелік балансових рахунків з обліку вкладів фізичних осіб та пасивів банку визначається відповідно до алгоритму розрахунку щодо визначення співвідношення залишків за вкладами фізичних осіб до залишків пасивів</w:t>
            </w:r>
            <w:r w:rsidRPr="000620B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банку, зазначеного у  Методи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ці Національного банку України щодо </w:t>
            </w:r>
            <w:r w:rsidRPr="000620B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розрахунку економічних нормативів регулюва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ння діяльності банків в Україні.</w:t>
            </w: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55CAF" w:rsidRPr="000620B0" w:rsidTr="00022381">
        <w:trPr>
          <w:gridAfter w:val="1"/>
          <w:wAfter w:w="30" w:type="dxa"/>
          <w:trHeight w:val="507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CAF" w:rsidRPr="000620B0" w:rsidRDefault="00F55CAF" w:rsidP="008C6E9D">
            <w:pPr>
              <w:spacing w:after="0" w:line="240" w:lineRule="auto"/>
              <w:rPr>
                <w:rFonts w:ascii="Times New Roman" w:eastAsia="Batang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B27B0A" w:rsidRDefault="00B27B0A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Таблиця 2</w:t>
      </w: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55CAF" w:rsidRPr="000620B0" w:rsidRDefault="00F55CAF" w:rsidP="00F55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Перелік якісних індикаторів (20% загального балу)</w:t>
      </w:r>
    </w:p>
    <w:p w:rsidR="00F55CAF" w:rsidRPr="000620B0" w:rsidRDefault="00F55CAF" w:rsidP="00F55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503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9197"/>
      </w:tblGrid>
      <w:tr w:rsidR="00F55CAF" w:rsidRPr="000620B0" w:rsidTr="00341620">
        <w:tc>
          <w:tcPr>
            <w:tcW w:w="367" w:type="pct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33" w:type="pct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якісних індикаторів</w:t>
            </w:r>
          </w:p>
        </w:tc>
      </w:tr>
      <w:tr w:rsidR="00F55CAF" w:rsidRPr="000620B0" w:rsidTr="00341620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звітний квартал </w:t>
            </w:r>
            <w:r w:rsidRPr="009F2D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 банку не застосовано Національним банком України заходи впливу, крім письмового застереження та штрафу за подання перекрученої звітності  відповідно до нормативно-правового акту з питань застосування заходів впливу</w:t>
            </w:r>
            <w:r w:rsidR="00D44D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55CAF" w:rsidRPr="000620B0" w:rsidTr="00341620">
        <w:tc>
          <w:tcPr>
            <w:tcW w:w="367" w:type="pct"/>
            <w:shd w:val="clear" w:color="auto" w:fill="auto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Національний банк України не здійснює за банком особливий режим контролю за діяльністю та до банку не призначено куратора банку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 зв’язку з наявністю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фінансових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 у його діяльності.</w:t>
            </w:r>
          </w:p>
        </w:tc>
      </w:tr>
      <w:tr w:rsidR="00F55CAF" w:rsidRPr="000620B0" w:rsidTr="00341620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2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забезпечує своєчасне та в повному обсязі  виконання своїх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фінансових </w:t>
            </w:r>
            <w:r w:rsidRPr="009F2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зобов'язань перед Національним  банком України</w:t>
            </w:r>
            <w:r w:rsidR="00367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55CAF" w:rsidRPr="000620B0" w:rsidTr="00341620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Банком виконуються наявні план заходів та/або 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капіталізації та/або план приведення значення нормативів кредитного ризику за операціями з пов’язаними з банком особами у відповідність із вимогами Національного банку України та/або інші вимоги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Національного банку України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щодо усунення порушень вимог банківського законодавства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виконання вимог нормативно-правових актів Національного банку України для уникнення або подолання небажаних наслідків, що можуть поставити під загрозу безпеку коштів, довірених такому банку, або завдати шкоди належному веденню банківської діяльності.</w:t>
            </w:r>
          </w:p>
        </w:tc>
      </w:tr>
      <w:tr w:rsidR="00F55CAF" w:rsidRPr="000620B0" w:rsidTr="00341620">
        <w:tc>
          <w:tcPr>
            <w:tcW w:w="367" w:type="pct"/>
            <w:shd w:val="clear" w:color="auto" w:fill="auto"/>
            <w:vAlign w:val="center"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3" w:type="pct"/>
            <w:shd w:val="clear" w:color="auto" w:fill="auto"/>
            <w:vAlign w:val="bottom"/>
          </w:tcPr>
          <w:p w:rsidR="00F55CAF" w:rsidRPr="000620B0" w:rsidRDefault="00F55CAF" w:rsidP="008C6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До банку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Pr="00062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застосовані адміністративно-господарські санкції за порушення вимог законодавства про систему гарантування вкладів фізичних осіб.</w:t>
            </w:r>
          </w:p>
        </w:tc>
      </w:tr>
    </w:tbl>
    <w:p w:rsidR="00F55CAF" w:rsidRPr="000620B0" w:rsidRDefault="00F55CAF" w:rsidP="00F55C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sz w:val="28"/>
          <w:szCs w:val="28"/>
          <w:lang w:eastAsia="ru-RU"/>
        </w:rPr>
        <w:t>Таблиця 3</w:t>
      </w: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ступеню ризику учасника Фонду</w:t>
      </w:r>
    </w:p>
    <w:p w:rsidR="00F55CAF" w:rsidRPr="000620B0" w:rsidRDefault="00F55CAF" w:rsidP="00F55CAF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062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ранжування</w:t>
      </w:r>
      <w:proofErr w:type="spellEnd"/>
      <w:r w:rsidRPr="00062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банків залежно від загального балу та віднесення до відповідної категорії банків, присвоєння відповідного ступеню ризику)</w:t>
      </w:r>
    </w:p>
    <w:p w:rsidR="00F55CAF" w:rsidRPr="000620B0" w:rsidRDefault="00F55CAF" w:rsidP="00F55C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2260"/>
        <w:gridCol w:w="3269"/>
        <w:gridCol w:w="2126"/>
        <w:gridCol w:w="2552"/>
      </w:tblGrid>
      <w:tr w:rsidR="00F55CAF" w:rsidRPr="000620B0" w:rsidTr="008C6E9D">
        <w:trPr>
          <w:trHeight w:val="3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Категорія банку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Рівень ризику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Загальний бал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Ступінь ризику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E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&lt;15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2,1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Підвищений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15-19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1,7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C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Прийнятний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1,4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B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Задовільний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1,1</w:t>
            </w:r>
          </w:p>
        </w:tc>
      </w:tr>
      <w:tr w:rsidR="00F55CAF" w:rsidRPr="000620B0" w:rsidTr="008C6E9D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Низький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&gt;=30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AF" w:rsidRPr="000620B0" w:rsidRDefault="00F55CAF" w:rsidP="008C6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620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F55CAF" w:rsidRPr="000620B0" w:rsidRDefault="00F55CAF" w:rsidP="00F55CA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:rsidR="00F55CAF" w:rsidRPr="000620B0" w:rsidRDefault="00F55CAF" w:rsidP="00F5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ru-RU"/>
        </w:rPr>
      </w:pPr>
    </w:p>
    <w:p w:rsidR="000620B0" w:rsidRPr="000620B0" w:rsidRDefault="000620B0" w:rsidP="00F55CAF">
      <w:pPr>
        <w:spacing w:after="0" w:line="240" w:lineRule="auto"/>
        <w:rPr>
          <w:lang w:val="ru-RU"/>
        </w:rPr>
      </w:pPr>
    </w:p>
    <w:sectPr w:rsidR="000620B0" w:rsidRPr="000620B0" w:rsidSect="00C82C70">
      <w:headerReference w:type="default" r:id="rId11"/>
      <w:headerReference w:type="first" r:id="rId12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9D" w:rsidRDefault="0017019D" w:rsidP="00215BDF">
      <w:pPr>
        <w:spacing w:after="0" w:line="240" w:lineRule="auto"/>
      </w:pPr>
      <w:r>
        <w:separator/>
      </w:r>
    </w:p>
  </w:endnote>
  <w:endnote w:type="continuationSeparator" w:id="0">
    <w:p w:rsidR="0017019D" w:rsidRDefault="0017019D" w:rsidP="0021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9D" w:rsidRDefault="0017019D" w:rsidP="00215BDF">
      <w:pPr>
        <w:spacing w:after="0" w:line="240" w:lineRule="auto"/>
      </w:pPr>
      <w:r>
        <w:separator/>
      </w:r>
    </w:p>
  </w:footnote>
  <w:footnote w:type="continuationSeparator" w:id="0">
    <w:p w:rsidR="0017019D" w:rsidRDefault="0017019D" w:rsidP="0021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0" w:rsidRDefault="00E07534">
    <w:pPr>
      <w:pStyle w:val="a3"/>
      <w:jc w:val="center"/>
      <w:rPr>
        <w:rFonts w:ascii="Times New Roman" w:hAnsi="Times New Roman"/>
        <w:sz w:val="28"/>
        <w:szCs w:val="28"/>
      </w:rPr>
    </w:pPr>
    <w:r w:rsidRPr="00637D4B">
      <w:rPr>
        <w:rFonts w:ascii="Times New Roman" w:hAnsi="Times New Roman"/>
        <w:sz w:val="28"/>
        <w:szCs w:val="28"/>
      </w:rPr>
      <w:fldChar w:fldCharType="begin"/>
    </w:r>
    <w:r w:rsidR="000013E2" w:rsidRPr="00637D4B">
      <w:rPr>
        <w:rFonts w:ascii="Times New Roman" w:hAnsi="Times New Roman"/>
        <w:sz w:val="28"/>
        <w:szCs w:val="28"/>
      </w:rPr>
      <w:instrText>PAGE   \* MERGEFORMAT</w:instrText>
    </w:r>
    <w:r w:rsidRPr="00637D4B">
      <w:rPr>
        <w:rFonts w:ascii="Times New Roman" w:hAnsi="Times New Roman"/>
        <w:sz w:val="28"/>
        <w:szCs w:val="28"/>
      </w:rPr>
      <w:fldChar w:fldCharType="separate"/>
    </w:r>
    <w:r w:rsidR="00EE229E" w:rsidRPr="00EE229E">
      <w:rPr>
        <w:rFonts w:ascii="Times New Roman" w:hAnsi="Times New Roman"/>
        <w:noProof/>
        <w:sz w:val="28"/>
        <w:szCs w:val="28"/>
        <w:lang w:val="ru-RU"/>
      </w:rPr>
      <w:t>3</w:t>
    </w:r>
    <w:r w:rsidRPr="00637D4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DB" w:rsidRDefault="00E07534">
    <w:pPr>
      <w:pStyle w:val="a3"/>
      <w:jc w:val="center"/>
      <w:rPr>
        <w:rFonts w:ascii="Times New Roman" w:hAnsi="Times New Roman"/>
        <w:sz w:val="28"/>
        <w:szCs w:val="28"/>
      </w:rPr>
    </w:pPr>
    <w:r w:rsidRPr="00637D4B">
      <w:rPr>
        <w:rFonts w:ascii="Times New Roman" w:hAnsi="Times New Roman"/>
        <w:sz w:val="28"/>
        <w:szCs w:val="28"/>
      </w:rPr>
      <w:fldChar w:fldCharType="begin"/>
    </w:r>
    <w:r w:rsidR="007D10DB" w:rsidRPr="00637D4B">
      <w:rPr>
        <w:rFonts w:ascii="Times New Roman" w:hAnsi="Times New Roman"/>
        <w:sz w:val="28"/>
        <w:szCs w:val="28"/>
      </w:rPr>
      <w:instrText>PAGE   \* MERGEFORMAT</w:instrText>
    </w:r>
    <w:r w:rsidRPr="00637D4B">
      <w:rPr>
        <w:rFonts w:ascii="Times New Roman" w:hAnsi="Times New Roman"/>
        <w:sz w:val="28"/>
        <w:szCs w:val="28"/>
      </w:rPr>
      <w:fldChar w:fldCharType="separate"/>
    </w:r>
    <w:r w:rsidR="00EE229E" w:rsidRPr="00EE229E">
      <w:rPr>
        <w:rFonts w:ascii="Times New Roman" w:hAnsi="Times New Roman"/>
        <w:noProof/>
        <w:sz w:val="28"/>
        <w:szCs w:val="28"/>
        <w:lang w:val="ru-RU"/>
      </w:rPr>
      <w:t>3</w:t>
    </w:r>
    <w:r w:rsidRPr="00637D4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DB" w:rsidRDefault="007D10DB" w:rsidP="00F626CA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4</w:t>
    </w:r>
  </w:p>
  <w:p w:rsidR="007D10DB" w:rsidRDefault="00E07534">
    <w:pPr>
      <w:pStyle w:val="a3"/>
      <w:jc w:val="center"/>
      <w:rPr>
        <w:rFonts w:ascii="Times New Roman" w:hAnsi="Times New Roman"/>
        <w:sz w:val="28"/>
        <w:szCs w:val="28"/>
      </w:rPr>
    </w:pPr>
    <w:r w:rsidRPr="00637D4B">
      <w:rPr>
        <w:rFonts w:ascii="Times New Roman" w:hAnsi="Times New Roman"/>
        <w:sz w:val="28"/>
        <w:szCs w:val="28"/>
      </w:rPr>
      <w:fldChar w:fldCharType="begin"/>
    </w:r>
    <w:r w:rsidR="007D10DB" w:rsidRPr="00637D4B">
      <w:rPr>
        <w:rFonts w:ascii="Times New Roman" w:hAnsi="Times New Roman"/>
        <w:sz w:val="28"/>
        <w:szCs w:val="28"/>
      </w:rPr>
      <w:instrText>PAGE   \* MERGEFORMAT</w:instrText>
    </w:r>
    <w:r w:rsidRPr="00637D4B">
      <w:rPr>
        <w:rFonts w:ascii="Times New Roman" w:hAnsi="Times New Roman"/>
        <w:sz w:val="28"/>
        <w:szCs w:val="28"/>
      </w:rPr>
      <w:fldChar w:fldCharType="separate"/>
    </w:r>
    <w:r w:rsidR="00EE229E" w:rsidRPr="00EE229E">
      <w:rPr>
        <w:rFonts w:ascii="Times New Roman" w:hAnsi="Times New Roman"/>
        <w:noProof/>
        <w:sz w:val="28"/>
        <w:szCs w:val="28"/>
        <w:lang w:val="ru-RU"/>
      </w:rPr>
      <w:t>4</w:t>
    </w:r>
    <w:r w:rsidRPr="00637D4B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DB" w:rsidRDefault="007D1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44BE"/>
    <w:multiLevelType w:val="hybridMultilevel"/>
    <w:tmpl w:val="F6CEC7EE"/>
    <w:lvl w:ilvl="0" w:tplc="FE5216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007140"/>
    <w:multiLevelType w:val="hybridMultilevel"/>
    <w:tmpl w:val="09648D48"/>
    <w:lvl w:ilvl="0" w:tplc="F2204DE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16641"/>
    <w:rsid w:val="000013E2"/>
    <w:rsid w:val="00022381"/>
    <w:rsid w:val="00043D0E"/>
    <w:rsid w:val="000620B0"/>
    <w:rsid w:val="00086747"/>
    <w:rsid w:val="000924EE"/>
    <w:rsid w:val="000A07A8"/>
    <w:rsid w:val="00105C5C"/>
    <w:rsid w:val="001109CC"/>
    <w:rsid w:val="001618CE"/>
    <w:rsid w:val="0017019D"/>
    <w:rsid w:val="00215BDF"/>
    <w:rsid w:val="00216641"/>
    <w:rsid w:val="002179DB"/>
    <w:rsid w:val="002508A6"/>
    <w:rsid w:val="00272838"/>
    <w:rsid w:val="002C6670"/>
    <w:rsid w:val="002D44EF"/>
    <w:rsid w:val="002E415D"/>
    <w:rsid w:val="002E6646"/>
    <w:rsid w:val="003230B6"/>
    <w:rsid w:val="00331369"/>
    <w:rsid w:val="00341620"/>
    <w:rsid w:val="0036773C"/>
    <w:rsid w:val="003810AD"/>
    <w:rsid w:val="003A6C7C"/>
    <w:rsid w:val="003D01C9"/>
    <w:rsid w:val="00421D12"/>
    <w:rsid w:val="004525FD"/>
    <w:rsid w:val="00452952"/>
    <w:rsid w:val="004B7784"/>
    <w:rsid w:val="004D4329"/>
    <w:rsid w:val="004E519A"/>
    <w:rsid w:val="0051131A"/>
    <w:rsid w:val="005C0236"/>
    <w:rsid w:val="005C2F35"/>
    <w:rsid w:val="006132FC"/>
    <w:rsid w:val="006373B2"/>
    <w:rsid w:val="006443DC"/>
    <w:rsid w:val="00645A2A"/>
    <w:rsid w:val="00650C86"/>
    <w:rsid w:val="006A2845"/>
    <w:rsid w:val="006B0572"/>
    <w:rsid w:val="006C2307"/>
    <w:rsid w:val="007725F9"/>
    <w:rsid w:val="00787663"/>
    <w:rsid w:val="007C7608"/>
    <w:rsid w:val="007D10DB"/>
    <w:rsid w:val="007D7496"/>
    <w:rsid w:val="007F6393"/>
    <w:rsid w:val="0080061E"/>
    <w:rsid w:val="00806B8F"/>
    <w:rsid w:val="00826BEB"/>
    <w:rsid w:val="00854A8E"/>
    <w:rsid w:val="008C251D"/>
    <w:rsid w:val="00943597"/>
    <w:rsid w:val="009520AB"/>
    <w:rsid w:val="00996A8F"/>
    <w:rsid w:val="009C7C65"/>
    <w:rsid w:val="00A12027"/>
    <w:rsid w:val="00A36648"/>
    <w:rsid w:val="00A562D6"/>
    <w:rsid w:val="00A77D18"/>
    <w:rsid w:val="00A8256D"/>
    <w:rsid w:val="00B064DC"/>
    <w:rsid w:val="00B24E64"/>
    <w:rsid w:val="00B26329"/>
    <w:rsid w:val="00B27B0A"/>
    <w:rsid w:val="00BC0F63"/>
    <w:rsid w:val="00BC1460"/>
    <w:rsid w:val="00C14BCC"/>
    <w:rsid w:val="00C46097"/>
    <w:rsid w:val="00C5508A"/>
    <w:rsid w:val="00C81DEC"/>
    <w:rsid w:val="00C82C70"/>
    <w:rsid w:val="00C92AC7"/>
    <w:rsid w:val="00CC1108"/>
    <w:rsid w:val="00D37178"/>
    <w:rsid w:val="00D44DEF"/>
    <w:rsid w:val="00D51C24"/>
    <w:rsid w:val="00D52BFB"/>
    <w:rsid w:val="00D81E27"/>
    <w:rsid w:val="00E06278"/>
    <w:rsid w:val="00E07534"/>
    <w:rsid w:val="00E57C23"/>
    <w:rsid w:val="00E85F28"/>
    <w:rsid w:val="00EE1F3C"/>
    <w:rsid w:val="00EE229E"/>
    <w:rsid w:val="00F55CAF"/>
    <w:rsid w:val="00F626CA"/>
    <w:rsid w:val="00F665F4"/>
    <w:rsid w:val="00FA0150"/>
    <w:rsid w:val="00FD4BD4"/>
    <w:rsid w:val="00FD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525F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4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64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1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1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64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25FD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customStyle="1" w:styleId="BodyTextIndent">
    <w:name w:val="Body Text Indent Знак"/>
    <w:basedOn w:val="a"/>
    <w:semiHidden/>
    <w:rsid w:val="004525F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longtext">
    <w:name w:val="long_text"/>
    <w:rsid w:val="004525FD"/>
  </w:style>
  <w:style w:type="paragraph" w:styleId="a8">
    <w:name w:val="List Paragraph"/>
    <w:basedOn w:val="a"/>
    <w:uiPriority w:val="34"/>
    <w:qFormat/>
    <w:rsid w:val="004525F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82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C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CC1-5C77-478F-810D-B3A0C80E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Deshchenia</dc:creator>
  <cp:lastModifiedBy>Khomenets</cp:lastModifiedBy>
  <cp:revision>2</cp:revision>
  <cp:lastPrinted>2017-09-12T06:30:00Z</cp:lastPrinted>
  <dcterms:created xsi:type="dcterms:W3CDTF">2017-10-09T13:19:00Z</dcterms:created>
  <dcterms:modified xsi:type="dcterms:W3CDTF">2017-10-09T13:19:00Z</dcterms:modified>
</cp:coreProperties>
</file>